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59D4">
      <w:pPr>
        <w:keepNext w:val="0"/>
        <w:keepLines w:val="0"/>
        <w:pageBreakBefore w:val="0"/>
        <w:widowControl w:val="0"/>
        <w:kinsoku/>
        <w:wordWrap/>
        <w:overflowPunct/>
        <w:autoSpaceDE/>
        <w:autoSpaceDN/>
        <w:bidi w:val="0"/>
        <w:adjustRightInd/>
        <w:snapToGrid/>
        <w:spacing w:line="600" w:lineRule="exact"/>
        <w:textAlignment w:val="auto"/>
        <w:rPr>
          <w:rFonts w:hint="default" w:ascii="Times New Roman" w:hAnsi="Times New Roman" w:eastAsia="方正小标宋_GBK" w:cs="Times New Roman"/>
          <w:color w:val="000000" w:themeColor="text1"/>
          <w:spacing w:val="-4"/>
          <w:sz w:val="44"/>
          <w:szCs w:val="44"/>
          <w:lang w:val="en-US" w:eastAsia="zh-CN" w:bidi="ar-SA"/>
          <w14:textFill>
            <w14:solidFill>
              <w14:schemeClr w14:val="tx1"/>
            </w14:solidFill>
          </w14:textFill>
        </w:rPr>
      </w:pPr>
      <w:r>
        <w:rPr>
          <w:rFonts w:ascii="Calibri" w:hAnsi="Calibri" w:eastAsia="宋体" w:cs="Times New Roman"/>
          <w:color w:val="000000"/>
        </w:rPr>
        <w:drawing>
          <wp:anchor distT="0" distB="0" distL="114300" distR="114300" simplePos="0" relativeHeight="251659264" behindDoc="1" locked="0" layoutInCell="1" allowOverlap="1">
            <wp:simplePos x="0" y="0"/>
            <wp:positionH relativeFrom="column">
              <wp:posOffset>-1021080</wp:posOffset>
            </wp:positionH>
            <wp:positionV relativeFrom="paragraph">
              <wp:posOffset>-1313180</wp:posOffset>
            </wp:positionV>
            <wp:extent cx="7560310" cy="4005580"/>
            <wp:effectExtent l="0" t="0" r="2540" b="13970"/>
            <wp:wrapNone/>
            <wp:docPr id="2" name="图片 3" descr="中共温州理工学院委员会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中共温州理工学院委员会文件"/>
                    <pic:cNvPicPr>
                      <a:picLocks noChangeAspect="1"/>
                    </pic:cNvPicPr>
                  </pic:nvPicPr>
                  <pic:blipFill>
                    <a:blip r:embed="rId5"/>
                    <a:stretch>
                      <a:fillRect/>
                    </a:stretch>
                  </pic:blipFill>
                  <pic:spPr>
                    <a:xfrm>
                      <a:off x="0" y="0"/>
                      <a:ext cx="7560310" cy="4005580"/>
                    </a:xfrm>
                    <a:prstGeom prst="rect">
                      <a:avLst/>
                    </a:prstGeom>
                    <a:noFill/>
                    <a:ln>
                      <a:noFill/>
                    </a:ln>
                  </pic:spPr>
                </pic:pic>
              </a:graphicData>
            </a:graphic>
          </wp:anchor>
        </w:drawing>
      </w:r>
    </w:p>
    <w:p w14:paraId="249D7108">
      <w:pPr>
        <w:keepNext w:val="0"/>
        <w:keepLines w:val="0"/>
        <w:pageBreakBefore w:val="0"/>
        <w:widowControl w:val="0"/>
        <w:kinsoku/>
        <w:wordWrap/>
        <w:overflowPunct/>
        <w:topLinePunct/>
        <w:autoSpaceDE/>
        <w:autoSpaceDN/>
        <w:bidi w:val="0"/>
        <w:adjustRightInd/>
        <w:snapToGrid/>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p>
    <w:p w14:paraId="7D2FFF52">
      <w:pPr>
        <w:keepNext w:val="0"/>
        <w:keepLines w:val="0"/>
        <w:pageBreakBefore w:val="0"/>
        <w:widowControl w:val="0"/>
        <w:kinsoku/>
        <w:wordWrap/>
        <w:overflowPunct/>
        <w:topLinePunct/>
        <w:autoSpaceDE/>
        <w:autoSpaceDN/>
        <w:bidi w:val="0"/>
        <w:adjustRightInd/>
        <w:snapToGrid/>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p>
    <w:p w14:paraId="2B54EA9F">
      <w:pPr>
        <w:keepNext w:val="0"/>
        <w:keepLines w:val="0"/>
        <w:pageBreakBefore w:val="0"/>
        <w:widowControl w:val="0"/>
        <w:kinsoku/>
        <w:wordWrap/>
        <w:overflowPunct/>
        <w:autoSpaceDE/>
        <w:autoSpaceDN/>
        <w:bidi w:val="0"/>
        <w:snapToGrid/>
        <w:spacing w:line="600" w:lineRule="exact"/>
        <w:textAlignment w:val="auto"/>
        <w:rPr>
          <w:rFonts w:hint="default" w:ascii="Times New Roman" w:hAnsi="Times New Roman" w:cs="Times New Roman"/>
        </w:rPr>
      </w:pPr>
    </w:p>
    <w:p w14:paraId="3AA39977">
      <w:pPr>
        <w:keepNext w:val="0"/>
        <w:keepLines w:val="0"/>
        <w:pageBreakBefore w:val="0"/>
        <w:widowControl w:val="0"/>
        <w:kinsoku/>
        <w:wordWrap/>
        <w:overflowPunct/>
        <w:topLinePunct/>
        <w:autoSpaceDE/>
        <w:autoSpaceDN/>
        <w:bidi w:val="0"/>
        <w:adjustRightInd/>
        <w:snapToGrid/>
        <w:spacing w:line="600" w:lineRule="exact"/>
        <w:ind w:right="0"/>
        <w:jc w:val="center"/>
        <w:textAlignment w:val="auto"/>
        <w:rPr>
          <w:rFonts w:hint="default" w:ascii="Times New Roman" w:hAnsi="Times New Roman" w:eastAsia="仿宋_GB2312" w:cs="Times New Roman"/>
          <w:color w:val="auto"/>
          <w:sz w:val="32"/>
          <w:szCs w:val="32"/>
          <w:highlight w:val="none"/>
        </w:rPr>
      </w:pPr>
    </w:p>
    <w:p w14:paraId="42264BC3">
      <w:pPr>
        <w:keepNext w:val="0"/>
        <w:keepLines w:val="0"/>
        <w:pageBreakBefore w:val="0"/>
        <w:widowControl w:val="0"/>
        <w:kinsoku/>
        <w:wordWrap/>
        <w:overflowPunct/>
        <w:topLinePunct/>
        <w:autoSpaceDE/>
        <w:autoSpaceDN/>
        <w:bidi w:val="0"/>
        <w:snapToGrid/>
        <w:spacing w:line="600" w:lineRule="exact"/>
        <w:ind w:right="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温理工</w:t>
      </w:r>
      <w:r>
        <w:rPr>
          <w:rFonts w:hint="default" w:ascii="Times New Roman" w:hAnsi="Times New Roman" w:eastAsia="仿宋_GB2312" w:cs="Times New Roman"/>
          <w:color w:val="auto"/>
          <w:sz w:val="32"/>
          <w:szCs w:val="32"/>
          <w:highlight w:val="none"/>
          <w:lang w:val="en-US" w:eastAsia="zh-CN"/>
        </w:rPr>
        <w:t>党委发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w:t>
      </w:r>
    </w:p>
    <w:p w14:paraId="44B87AA0">
      <w:pPr>
        <w:keepNext w:val="0"/>
        <w:keepLines w:val="0"/>
        <w:pageBreakBefore w:val="0"/>
        <w:widowControl w:val="0"/>
        <w:kinsoku/>
        <w:wordWrap/>
        <w:overflowPunct/>
        <w:topLinePunct/>
        <w:autoSpaceDE/>
        <w:autoSpaceDN/>
        <w:bidi w:val="0"/>
        <w:snapToGrid/>
        <w:spacing w:line="600" w:lineRule="exact"/>
        <w:ind w:right="0"/>
        <w:jc w:val="center"/>
        <w:textAlignment w:val="auto"/>
        <w:rPr>
          <w:rFonts w:hint="default" w:ascii="Times New Roman" w:hAnsi="Times New Roman" w:eastAsia="仿宋_GB2312" w:cs="Times New Roman"/>
          <w:color w:val="auto"/>
          <w:sz w:val="32"/>
          <w:szCs w:val="32"/>
          <w:highlight w:val="none"/>
        </w:rPr>
      </w:pPr>
    </w:p>
    <w:p w14:paraId="56A7AD61">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jc w:val="center"/>
        <w:textAlignment w:val="auto"/>
        <w:rPr>
          <w:rFonts w:hint="default" w:ascii="Times New Roman" w:hAnsi="Times New Roman" w:eastAsia="方正小标宋_GBK" w:cs="Times New Roman"/>
          <w:snapToGrid/>
          <w:color w:val="auto"/>
          <w:kern w:val="2"/>
          <w:sz w:val="32"/>
          <w:szCs w:val="32"/>
          <w:highlight w:val="none"/>
          <w:lang w:eastAsia="zh-CN"/>
        </w:rPr>
      </w:pPr>
    </w:p>
    <w:p w14:paraId="6E639114">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right="0" w:rightChars="0"/>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snapToGrid/>
          <w:color w:val="auto"/>
          <w:kern w:val="0"/>
          <w:sz w:val="44"/>
          <w:szCs w:val="44"/>
          <w:highlight w:val="none"/>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温州理工学院关于专任教师年度</w:t>
      </w:r>
    </w:p>
    <w:p w14:paraId="0D55962A">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right="0" w:rightChars="0"/>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bCs/>
          <w:color w:val="auto"/>
          <w:w w:val="95"/>
          <w:kern w:val="0"/>
          <w:sz w:val="44"/>
          <w:szCs w:val="44"/>
          <w:highlight w:val="none"/>
          <w:lang w:val="en-US" w:eastAsia="zh-CN" w:bidi="ar"/>
        </w:rPr>
        <w:t>考核、教学业绩、科研业绩和育人工作</w:t>
      </w:r>
    </w:p>
    <w:p w14:paraId="665B073F">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right="0" w:rightChars="0"/>
        <w:jc w:val="center"/>
        <w:textAlignment w:val="auto"/>
        <w:rPr>
          <w:rFonts w:hint="default" w:ascii="Times New Roman" w:hAnsi="Times New Roman" w:eastAsia="方正小标宋_GBK" w:cs="Times New Roman"/>
          <w:snapToGrid/>
          <w:color w:val="auto"/>
          <w:kern w:val="0"/>
          <w:sz w:val="44"/>
          <w:szCs w:val="44"/>
          <w:highlight w:val="none"/>
          <w:lang w:val="en-US" w:eastAsia="zh-CN" w:bidi="ar-SA"/>
        </w:rPr>
      </w:pPr>
      <w:r>
        <w:rPr>
          <w:rFonts w:hint="default" w:ascii="Times New Roman" w:hAnsi="Times New Roman" w:eastAsia="方正小标宋_GBK" w:cs="Times New Roman"/>
          <w:bCs/>
          <w:color w:val="auto"/>
          <w:w w:val="95"/>
          <w:kern w:val="0"/>
          <w:sz w:val="44"/>
          <w:szCs w:val="44"/>
          <w:highlight w:val="none"/>
          <w:lang w:val="en-US" w:eastAsia="zh-CN" w:bidi="ar"/>
        </w:rPr>
        <w:t>考核的补充意见</w:t>
      </w:r>
      <w:r>
        <w:rPr>
          <w:rFonts w:hint="default" w:ascii="Times New Roman" w:hAnsi="Times New Roman" w:eastAsia="方正小标宋_GBK" w:cs="Times New Roman"/>
          <w:snapToGrid/>
          <w:color w:val="auto"/>
          <w:kern w:val="2"/>
          <w:sz w:val="44"/>
          <w:szCs w:val="44"/>
          <w:highlight w:val="none"/>
          <w:lang w:val="en-US" w:eastAsia="zh-CN"/>
        </w:rPr>
        <w:t>》</w:t>
      </w:r>
      <w:r>
        <w:rPr>
          <w:rFonts w:hint="default" w:ascii="Times New Roman" w:hAnsi="Times New Roman" w:eastAsia="方正小标宋_GBK" w:cs="Times New Roman"/>
          <w:snapToGrid/>
          <w:color w:val="auto"/>
          <w:kern w:val="0"/>
          <w:sz w:val="44"/>
          <w:szCs w:val="44"/>
          <w:highlight w:val="none"/>
          <w:lang w:val="en-US" w:eastAsia="zh-CN" w:bidi="ar-SA"/>
        </w:rPr>
        <w:t>的通知</w:t>
      </w:r>
    </w:p>
    <w:p w14:paraId="11D718A8">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rightChars="0" w:firstLine="420"/>
        <w:jc w:val="center"/>
        <w:textAlignment w:val="auto"/>
        <w:rPr>
          <w:rFonts w:hint="default" w:ascii="Times New Roman" w:hAnsi="Times New Roman" w:eastAsia="仿宋_GB2312" w:cs="Times New Roman"/>
          <w:snapToGrid/>
          <w:color w:val="auto"/>
          <w:kern w:val="0"/>
          <w:sz w:val="28"/>
          <w:szCs w:val="20"/>
          <w:highlight w:val="none"/>
          <w:lang w:eastAsia="zh-CN"/>
        </w:rPr>
      </w:pPr>
    </w:p>
    <w:p w14:paraId="73F95BD2">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rightChars="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各</w:t>
      </w:r>
      <w:r>
        <w:rPr>
          <w:rFonts w:hint="default" w:ascii="Times New Roman" w:hAnsi="Times New Roman" w:eastAsia="仿宋_GB2312" w:cs="Times New Roman"/>
          <w:snapToGrid/>
          <w:color w:val="auto"/>
          <w:kern w:val="2"/>
          <w:sz w:val="32"/>
          <w:szCs w:val="32"/>
          <w:highlight w:val="none"/>
          <w:lang w:val="en-US" w:eastAsia="zh-CN"/>
        </w:rPr>
        <w:t>二级</w:t>
      </w:r>
      <w:r>
        <w:rPr>
          <w:rFonts w:hint="default" w:ascii="Times New Roman" w:hAnsi="Times New Roman" w:eastAsia="仿宋_GB2312" w:cs="Times New Roman"/>
          <w:snapToGrid/>
          <w:color w:val="auto"/>
          <w:kern w:val="2"/>
          <w:sz w:val="32"/>
          <w:szCs w:val="32"/>
          <w:highlight w:val="none"/>
          <w:lang w:eastAsia="zh-CN"/>
        </w:rPr>
        <w:t>学院、各部门：</w:t>
      </w:r>
    </w:p>
    <w:p w14:paraId="3BFD5088">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经</w:t>
      </w:r>
      <w:r>
        <w:rPr>
          <w:rFonts w:hint="default" w:ascii="Times New Roman" w:hAnsi="Times New Roman" w:eastAsia="仿宋_GB2312" w:cs="Times New Roman"/>
          <w:snapToGrid/>
          <w:color w:val="auto"/>
          <w:kern w:val="2"/>
          <w:sz w:val="32"/>
          <w:szCs w:val="32"/>
          <w:highlight w:val="none"/>
          <w:lang w:val="en-US" w:eastAsia="zh-CN"/>
        </w:rPr>
        <w:t>2025年5月29日第116次党委会</w:t>
      </w:r>
      <w:r>
        <w:rPr>
          <w:rFonts w:hint="default" w:ascii="Times New Roman" w:hAnsi="Times New Roman" w:eastAsia="仿宋_GB2312" w:cs="Times New Roman"/>
          <w:snapToGrid/>
          <w:color w:val="auto"/>
          <w:kern w:val="2"/>
          <w:sz w:val="32"/>
          <w:szCs w:val="32"/>
          <w:highlight w:val="none"/>
          <w:lang w:eastAsia="zh-CN"/>
        </w:rPr>
        <w:t>审议通过，现将《温州理工学院关于专任教师年度考核、教学业绩、科研业绩和育人工作考核的补充意见》印发给你们，请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14:paraId="5C0185F8">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10CBAAA9">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6079F555">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rightChars="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w:t>
      </w:r>
      <w:r>
        <w:rPr>
          <w:rFonts w:hint="default" w:ascii="Times New Roman" w:hAnsi="Times New Roman" w:eastAsia="仿宋_GB2312" w:cs="Times New Roman"/>
          <w:snapToGrid/>
          <w:color w:val="auto"/>
          <w:kern w:val="2"/>
          <w:sz w:val="32"/>
          <w:szCs w:val="28"/>
          <w:highlight w:val="none"/>
          <w:lang w:val="en-US" w:eastAsia="zh-CN"/>
        </w:rPr>
        <w:t>中共温州理工学院委员会</w:t>
      </w:r>
      <w:r>
        <w:rPr>
          <w:rFonts w:hint="default" w:ascii="Times New Roman" w:hAnsi="Times New Roman" w:eastAsia="仿宋_GB2312" w:cs="Times New Roman"/>
          <w:snapToGrid/>
          <w:color w:val="auto"/>
          <w:kern w:val="2"/>
          <w:sz w:val="32"/>
          <w:szCs w:val="28"/>
          <w:highlight w:val="none"/>
          <w:lang w:eastAsia="zh-CN"/>
        </w:rPr>
        <w:t xml:space="preserve">         </w:t>
      </w:r>
    </w:p>
    <w:p w14:paraId="171573BE">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rightChars="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val="en-US" w:eastAsia="zh-CN"/>
        </w:rPr>
        <w:t xml:space="preserve">          </w:t>
      </w:r>
      <w:r>
        <w:rPr>
          <w:rFonts w:hint="default" w:ascii="Times New Roman" w:hAnsi="Times New Roman" w:eastAsia="仿宋_GB2312" w:cs="Times New Roman"/>
          <w:snapToGrid/>
          <w:color w:val="auto"/>
          <w:kern w:val="2"/>
          <w:sz w:val="32"/>
          <w:szCs w:val="28"/>
          <w:highlight w:val="none"/>
          <w:lang w:eastAsia="zh-CN"/>
        </w:rPr>
        <w:t>20</w:t>
      </w:r>
      <w:r>
        <w:rPr>
          <w:rFonts w:hint="default" w:ascii="Times New Roman" w:hAnsi="Times New Roman" w:eastAsia="仿宋_GB2312" w:cs="Times New Roman"/>
          <w:snapToGrid/>
          <w:color w:val="auto"/>
          <w:kern w:val="2"/>
          <w:sz w:val="32"/>
          <w:szCs w:val="28"/>
          <w:highlight w:val="none"/>
          <w:lang w:val="en-US" w:eastAsia="zh-CN"/>
        </w:rPr>
        <w:t>25</w:t>
      </w:r>
      <w:r>
        <w:rPr>
          <w:rFonts w:hint="default" w:ascii="Times New Roman" w:hAnsi="Times New Roman" w:eastAsia="仿宋_GB2312" w:cs="Times New Roman"/>
          <w:snapToGrid/>
          <w:color w:val="auto"/>
          <w:kern w:val="2"/>
          <w:sz w:val="32"/>
          <w:szCs w:val="28"/>
          <w:highlight w:val="none"/>
          <w:lang w:eastAsia="zh-CN"/>
        </w:rPr>
        <w:t>年</w:t>
      </w:r>
      <w:r>
        <w:rPr>
          <w:rFonts w:hint="default" w:ascii="Times New Roman" w:hAnsi="Times New Roman" w:eastAsia="仿宋_GB2312" w:cs="Times New Roman"/>
          <w:snapToGrid/>
          <w:color w:val="auto"/>
          <w:kern w:val="2"/>
          <w:sz w:val="32"/>
          <w:szCs w:val="28"/>
          <w:highlight w:val="none"/>
          <w:lang w:val="en-US" w:eastAsia="zh-CN"/>
        </w:rPr>
        <w:t>6</w:t>
      </w:r>
      <w:r>
        <w:rPr>
          <w:rFonts w:hint="default" w:ascii="Times New Roman" w:hAnsi="Times New Roman" w:eastAsia="仿宋_GB2312" w:cs="Times New Roman"/>
          <w:snapToGrid/>
          <w:color w:val="auto"/>
          <w:kern w:val="2"/>
          <w:sz w:val="32"/>
          <w:szCs w:val="28"/>
          <w:highlight w:val="none"/>
          <w:lang w:eastAsia="zh-CN"/>
        </w:rPr>
        <w:t>月</w:t>
      </w:r>
      <w:r>
        <w:rPr>
          <w:rFonts w:hint="eastAsia" w:ascii="Times New Roman" w:hAnsi="Times New Roman" w:eastAsia="仿宋_GB2312" w:cs="Times New Roman"/>
          <w:snapToGrid/>
          <w:color w:val="auto"/>
          <w:kern w:val="2"/>
          <w:sz w:val="32"/>
          <w:szCs w:val="28"/>
          <w:highlight w:val="none"/>
          <w:lang w:val="en-US" w:eastAsia="zh-CN"/>
        </w:rPr>
        <w:t>6</w:t>
      </w:r>
      <w:r>
        <w:rPr>
          <w:rFonts w:hint="default" w:ascii="Times New Roman" w:hAnsi="Times New Roman" w:eastAsia="仿宋_GB2312" w:cs="Times New Roman"/>
          <w:snapToGrid/>
          <w:color w:val="auto"/>
          <w:kern w:val="2"/>
          <w:sz w:val="32"/>
          <w:szCs w:val="28"/>
          <w:highlight w:val="none"/>
          <w:lang w:eastAsia="zh-CN"/>
        </w:rPr>
        <w:t>日</w:t>
      </w:r>
    </w:p>
    <w:p w14:paraId="284E8D99">
      <w:pPr>
        <w:rPr>
          <w:rFonts w:hint="default" w:ascii="Times New Roman" w:hAnsi="Times New Roman" w:eastAsia="方正小标宋_GBK" w:cs="Times New Roman"/>
          <w:color w:val="auto"/>
          <w:spacing w:val="-4"/>
          <w:sz w:val="44"/>
          <w:szCs w:val="44"/>
          <w:highlight w:val="none"/>
          <w:lang w:val="en-US" w:eastAsia="zh-CN" w:bidi="ar-SA"/>
        </w:rPr>
        <w:sectPr>
          <w:footerReference r:id="rId3" w:type="default"/>
          <w:pgSz w:w="11906" w:h="16838"/>
          <w:pgMar w:top="2098" w:right="1803" w:bottom="1984" w:left="1587" w:header="851" w:footer="567" w:gutter="0"/>
          <w:pgBorders>
            <w:top w:val="none" w:sz="0" w:space="0"/>
            <w:left w:val="none" w:sz="0" w:space="0"/>
            <w:bottom w:val="none" w:sz="0" w:space="0"/>
            <w:right w:val="none" w:sz="0" w:space="0"/>
          </w:pgBorders>
          <w:pgNumType w:fmt="decimal"/>
          <w:cols w:space="425" w:num="1"/>
          <w:docGrid w:type="lines" w:linePitch="312" w:charSpace="0"/>
        </w:sectPr>
      </w:pPr>
    </w:p>
    <w:p w14:paraId="216090B8">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温州理工学院关于专任教师年度考核、教学</w:t>
      </w:r>
    </w:p>
    <w:p w14:paraId="64B52C44">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业绩、科研业绩和育人工作考核的补充意见</w:t>
      </w:r>
    </w:p>
    <w:p w14:paraId="79AB96CC">
      <w:pPr>
        <w:spacing w:line="5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（2025年5月29日第116次党委会审议通过）</w:t>
      </w:r>
    </w:p>
    <w:p w14:paraId="2C8CB474">
      <w:pPr>
        <w:spacing w:line="560" w:lineRule="exact"/>
        <w:ind w:firstLine="640" w:firstLineChars="200"/>
        <w:rPr>
          <w:rFonts w:hint="default" w:ascii="Times New Roman" w:hAnsi="Times New Roman" w:eastAsia="仿宋_GB2312" w:cs="Times New Roman"/>
          <w:sz w:val="32"/>
          <w:szCs w:val="32"/>
          <w:lang w:eastAsia="zh-CN"/>
        </w:rPr>
      </w:pPr>
    </w:p>
    <w:p w14:paraId="6B05D2C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为进一步完善专任教师工作考核，充分调动教师工作积极性，提升学校整体办学水平和人才培养质量。结合学校发展实际，经研究，特制定本补充意见。</w:t>
      </w:r>
    </w:p>
    <w:p w14:paraId="556BCD2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一、专任教师年度考核补充规定</w:t>
      </w:r>
    </w:p>
    <w:p w14:paraId="7F36E22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对《温州理工学院专任教师年度考核办法（试行）》（温理工行政〔2024〕25号），作如下补充规定：</w:t>
      </w:r>
    </w:p>
    <w:p w14:paraId="37192E39">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（一）专任教师评分分值调整</w:t>
      </w:r>
    </w:p>
    <w:p w14:paraId="34CDEC4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专任教师评分总分值为100分，一级定性指标由40分调整为20分，其中二级指标德（2.5分）、能（2.5分）、勤（2.5分）、廉（2.5分）、公共工作（10分）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一级定量指标由60分调整为80分，其中二级指标绩-教学工作量（30分）、绩-科研与教研工作量（50分）。定量指标的具体评分内容调整如下：</w:t>
      </w:r>
    </w:p>
    <w:tbl>
      <w:tblPr>
        <w:tblStyle w:val="15"/>
        <w:tblW w:w="9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1"/>
        <w:gridCol w:w="1286"/>
        <w:gridCol w:w="6688"/>
      </w:tblGrid>
      <w:tr w14:paraId="782DE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blHeader/>
        </w:trPr>
        <w:tc>
          <w:tcPr>
            <w:tcW w:w="1151" w:type="dxa"/>
          </w:tcPr>
          <w:p w14:paraId="30D8D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343" w:right="335"/>
              <w:jc w:val="both"/>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5"/>
                <w:kern w:val="2"/>
                <w:sz w:val="24"/>
                <w:szCs w:val="24"/>
                <w:lang w:val="en-US" w:eastAsia="en-US" w:bidi="ar-SA"/>
              </w:rPr>
              <w:t>一级</w:t>
            </w:r>
            <w:r>
              <w:rPr>
                <w:rFonts w:hint="default" w:ascii="Times New Roman" w:hAnsi="Times New Roman" w:eastAsia="仿宋_GB2312" w:cs="Times New Roman"/>
                <w:b/>
                <w:bCs/>
                <w:spacing w:val="-9"/>
                <w:kern w:val="2"/>
                <w:sz w:val="24"/>
                <w:szCs w:val="24"/>
                <w:lang w:val="en-US" w:eastAsia="en-US" w:bidi="ar-SA"/>
              </w:rPr>
              <w:t>指标</w:t>
            </w:r>
          </w:p>
        </w:tc>
        <w:tc>
          <w:tcPr>
            <w:tcW w:w="1286" w:type="dxa"/>
          </w:tcPr>
          <w:p w14:paraId="22A5D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409" w:right="404"/>
              <w:jc w:val="both"/>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4"/>
                <w:kern w:val="2"/>
                <w:sz w:val="24"/>
                <w:szCs w:val="24"/>
                <w:lang w:val="en-US" w:eastAsia="en-US" w:bidi="ar-SA"/>
              </w:rPr>
              <w:t>二级</w:t>
            </w:r>
            <w:r>
              <w:rPr>
                <w:rFonts w:hint="default" w:ascii="Times New Roman" w:hAnsi="Times New Roman" w:eastAsia="仿宋_GB2312" w:cs="Times New Roman"/>
                <w:b/>
                <w:bCs/>
                <w:spacing w:val="-9"/>
                <w:kern w:val="2"/>
                <w:sz w:val="24"/>
                <w:szCs w:val="24"/>
                <w:lang w:val="en-US" w:eastAsia="en-US" w:bidi="ar-SA"/>
              </w:rPr>
              <w:t>指标</w:t>
            </w:r>
          </w:p>
        </w:tc>
        <w:tc>
          <w:tcPr>
            <w:tcW w:w="6688" w:type="dxa"/>
            <w:vAlign w:val="center"/>
          </w:tcPr>
          <w:p w14:paraId="564E2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7"/>
                <w:kern w:val="2"/>
                <w:sz w:val="24"/>
                <w:szCs w:val="24"/>
                <w:lang w:val="en-US" w:eastAsia="en-US" w:bidi="ar-SA"/>
              </w:rPr>
              <w:t>具体内容</w:t>
            </w:r>
          </w:p>
        </w:tc>
      </w:tr>
      <w:tr w14:paraId="53327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51" w:type="dxa"/>
            <w:vAlign w:val="center"/>
          </w:tcPr>
          <w:p w14:paraId="1C1E4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2" w:right="23"/>
              <w:jc w:val="center"/>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7"/>
                <w:kern w:val="2"/>
                <w:sz w:val="24"/>
                <w:szCs w:val="24"/>
                <w:lang w:val="en-US" w:eastAsia="en-US" w:bidi="ar-SA"/>
              </w:rPr>
              <w:t>定</w:t>
            </w:r>
            <w:r>
              <w:rPr>
                <w:rFonts w:hint="default" w:ascii="Times New Roman" w:hAnsi="Times New Roman" w:eastAsia="仿宋_GB2312" w:cs="Times New Roman"/>
                <w:spacing w:val="-1"/>
                <w:kern w:val="2"/>
                <w:sz w:val="24"/>
                <w:szCs w:val="24"/>
                <w:lang w:val="en-US" w:eastAsia="en-US" w:bidi="ar-SA"/>
              </w:rPr>
              <w:t>量指标</w:t>
            </w:r>
            <w:r>
              <w:rPr>
                <w:rFonts w:hint="default" w:ascii="Times New Roman" w:hAnsi="Times New Roman" w:eastAsia="仿宋_GB2312" w:cs="Times New Roman"/>
                <w:spacing w:val="-5"/>
                <w:kern w:val="2"/>
                <w:sz w:val="24"/>
                <w:szCs w:val="24"/>
                <w:lang w:val="en-US" w:eastAsia="en-US" w:bidi="ar-SA"/>
              </w:rPr>
              <w:t>（80分）</w:t>
            </w:r>
          </w:p>
        </w:tc>
        <w:tc>
          <w:tcPr>
            <w:tcW w:w="1286" w:type="dxa"/>
            <w:vAlign w:val="center"/>
          </w:tcPr>
          <w:p w14:paraId="693DC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416"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9"/>
                <w:kern w:val="2"/>
                <w:sz w:val="24"/>
                <w:szCs w:val="24"/>
                <w:lang w:val="en-US" w:eastAsia="zh-CN" w:bidi="ar-SA"/>
              </w:rPr>
              <w:t>绩：</w:t>
            </w:r>
          </w:p>
          <w:p w14:paraId="0CD2F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9"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5"/>
                <w:kern w:val="2"/>
                <w:sz w:val="24"/>
                <w:szCs w:val="24"/>
                <w:lang w:val="en-US" w:eastAsia="zh-CN" w:bidi="ar-SA"/>
              </w:rPr>
              <w:t>教学工作</w:t>
            </w:r>
            <w:r>
              <w:rPr>
                <w:rFonts w:hint="default" w:ascii="Times New Roman" w:hAnsi="Times New Roman" w:eastAsia="仿宋_GB2312" w:cs="Times New Roman"/>
                <w:spacing w:val="-19"/>
                <w:kern w:val="2"/>
                <w:sz w:val="24"/>
                <w:szCs w:val="24"/>
                <w:lang w:val="en-US" w:eastAsia="zh-CN" w:bidi="ar-SA"/>
              </w:rPr>
              <w:t>量（30分）</w:t>
            </w:r>
          </w:p>
        </w:tc>
        <w:tc>
          <w:tcPr>
            <w:tcW w:w="6688" w:type="dxa"/>
          </w:tcPr>
          <w:p w14:paraId="34559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8" w:right="9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4"/>
                <w:kern w:val="2"/>
                <w:sz w:val="24"/>
                <w:szCs w:val="24"/>
                <w:lang w:val="en-US" w:eastAsia="zh-CN" w:bidi="ar-SA"/>
              </w:rPr>
              <w:t>1.教师本年度完成的教学工作量&lt;相应岗位基础工作量的70%，不得分；</w:t>
            </w:r>
          </w:p>
          <w:p w14:paraId="6C567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7" w:right="9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2.教师本年度完成的教学工作量=相应岗位</w:t>
            </w:r>
            <w:r>
              <w:rPr>
                <w:rFonts w:hint="default" w:ascii="Times New Roman" w:hAnsi="Times New Roman" w:eastAsia="仿宋_GB2312" w:cs="Times New Roman"/>
                <w:spacing w:val="-4"/>
                <w:kern w:val="2"/>
                <w:sz w:val="24"/>
                <w:szCs w:val="24"/>
                <w:lang w:val="en-US" w:eastAsia="zh-CN" w:bidi="ar-SA"/>
              </w:rPr>
              <w:t>基础工作量的70%，</w:t>
            </w:r>
            <w:r>
              <w:rPr>
                <w:rFonts w:hint="default" w:ascii="Times New Roman" w:hAnsi="Times New Roman" w:eastAsia="仿宋_GB2312" w:cs="Times New Roman"/>
                <w:spacing w:val="-10"/>
                <w:kern w:val="2"/>
                <w:sz w:val="24"/>
                <w:szCs w:val="24"/>
                <w:lang w:val="en-US" w:eastAsia="zh-CN" w:bidi="ar-SA"/>
              </w:rPr>
              <w:t>得18分；</w:t>
            </w:r>
          </w:p>
          <w:p w14:paraId="7A02A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7" w:right="9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4"/>
                <w:kern w:val="2"/>
                <w:sz w:val="24"/>
                <w:szCs w:val="24"/>
                <w:lang w:val="en-US" w:eastAsia="zh-CN" w:bidi="ar-SA"/>
              </w:rPr>
              <w:t>3.教师本年度完成的教学工作量&gt;相应岗位基础工作量的70%，</w:t>
            </w:r>
            <w:r>
              <w:rPr>
                <w:rFonts w:hint="default" w:ascii="Times New Roman" w:hAnsi="Times New Roman" w:eastAsia="仿宋_GB2312" w:cs="Times New Roman"/>
                <w:spacing w:val="-1"/>
                <w:kern w:val="2"/>
                <w:sz w:val="24"/>
                <w:szCs w:val="24"/>
                <w:lang w:val="en-US" w:eastAsia="zh-CN" w:bidi="ar-SA"/>
              </w:rPr>
              <w:t>得分=18+(本年度完成的教学工作量/相应岗位基础工作量</w:t>
            </w:r>
          </w:p>
          <w:p w14:paraId="22BA7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1" w:right="0"/>
              <w:jc w:val="both"/>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3"/>
                <w:kern w:val="2"/>
                <w:sz w:val="24"/>
                <w:szCs w:val="24"/>
                <w:lang w:val="en-US" w:eastAsia="en-US" w:bidi="ar-SA"/>
              </w:rPr>
              <w:t>-0.7)*10，最多得30分。</w:t>
            </w:r>
          </w:p>
        </w:tc>
      </w:tr>
      <w:tr w14:paraId="11691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8" w:hRule="atLeast"/>
        </w:trPr>
        <w:tc>
          <w:tcPr>
            <w:tcW w:w="1151" w:type="dxa"/>
            <w:vAlign w:val="center"/>
          </w:tcPr>
          <w:p w14:paraId="4CB72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2" w:right="23"/>
              <w:jc w:val="center"/>
              <w:textAlignment w:val="auto"/>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1"/>
                <w:kern w:val="2"/>
                <w:sz w:val="24"/>
                <w:szCs w:val="24"/>
                <w:lang w:val="en-US" w:eastAsia="en-US" w:bidi="ar-SA"/>
              </w:rPr>
              <w:t>定量指标（80分）</w:t>
            </w:r>
          </w:p>
        </w:tc>
        <w:tc>
          <w:tcPr>
            <w:tcW w:w="1286" w:type="dxa"/>
            <w:vAlign w:val="center"/>
          </w:tcPr>
          <w:p w14:paraId="33825A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9"/>
                <w:kern w:val="2"/>
                <w:sz w:val="24"/>
                <w:szCs w:val="24"/>
                <w:lang w:val="en-US" w:eastAsia="zh-CN" w:bidi="ar-SA"/>
              </w:rPr>
              <w:t>绩：</w:t>
            </w:r>
          </w:p>
          <w:p w14:paraId="74A0B2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32" w:right="138"/>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3"/>
                <w:kern w:val="2"/>
                <w:sz w:val="24"/>
                <w:szCs w:val="24"/>
                <w:lang w:val="en-US" w:eastAsia="zh-CN" w:bidi="ar-SA"/>
              </w:rPr>
              <w:t>科研与教</w:t>
            </w:r>
            <w:r>
              <w:rPr>
                <w:rFonts w:hint="default" w:ascii="Times New Roman" w:hAnsi="Times New Roman" w:eastAsia="仿宋_GB2312" w:cs="Times New Roman"/>
                <w:spacing w:val="6"/>
                <w:kern w:val="2"/>
                <w:sz w:val="24"/>
                <w:szCs w:val="24"/>
                <w:lang w:val="en-US" w:eastAsia="zh-CN" w:bidi="ar-SA"/>
              </w:rPr>
              <w:t>研工作量</w:t>
            </w:r>
            <w:r>
              <w:rPr>
                <w:rFonts w:hint="default" w:ascii="Times New Roman" w:hAnsi="Times New Roman" w:eastAsia="仿宋_GB2312" w:cs="Times New Roman"/>
                <w:spacing w:val="-5"/>
                <w:kern w:val="2"/>
                <w:sz w:val="24"/>
                <w:szCs w:val="24"/>
                <w:lang w:val="en-US" w:eastAsia="zh-CN" w:bidi="ar-SA"/>
              </w:rPr>
              <w:t>（50分）</w:t>
            </w:r>
          </w:p>
        </w:tc>
        <w:tc>
          <w:tcPr>
            <w:tcW w:w="6688" w:type="dxa"/>
          </w:tcPr>
          <w:p w14:paraId="7C200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33" w:right="218"/>
              <w:jc w:val="both"/>
              <w:textAlignment w:val="auto"/>
              <w:rPr>
                <w:rFonts w:hint="default" w:ascii="Times New Roman" w:hAnsi="Times New Roman" w:eastAsia="仿宋_GB2312" w:cs="Times New Roman"/>
                <w:spacing w:val="-1"/>
                <w:kern w:val="2"/>
                <w:sz w:val="24"/>
                <w:szCs w:val="24"/>
                <w:lang w:val="en-US" w:eastAsia="zh-CN" w:bidi="ar-SA"/>
              </w:rPr>
            </w:pPr>
          </w:p>
          <w:p w14:paraId="3BEBA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33" w:right="21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
                <w:kern w:val="2"/>
                <w:sz w:val="24"/>
                <w:szCs w:val="24"/>
                <w:lang w:val="en-US" w:eastAsia="zh-CN" w:bidi="ar-SA"/>
              </w:rPr>
              <w:t>1.教师本年度完成的科研与教研工作量&lt;相应岗位基础工作量</w:t>
            </w:r>
            <w:r>
              <w:rPr>
                <w:rFonts w:hint="default" w:ascii="Times New Roman" w:hAnsi="Times New Roman" w:eastAsia="仿宋_GB2312" w:cs="Times New Roman"/>
                <w:spacing w:val="-6"/>
                <w:kern w:val="2"/>
                <w:sz w:val="24"/>
                <w:szCs w:val="24"/>
                <w:lang w:val="en-US" w:eastAsia="zh-CN" w:bidi="ar-SA"/>
              </w:rPr>
              <w:t>的70%，不得分；</w:t>
            </w:r>
          </w:p>
          <w:p w14:paraId="050C3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34" w:right="21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
                <w:kern w:val="2"/>
                <w:sz w:val="24"/>
                <w:szCs w:val="24"/>
                <w:lang w:val="en-US" w:eastAsia="zh-CN" w:bidi="ar-SA"/>
              </w:rPr>
              <w:t>2.教师本年度完成的科研与教研工作量=相应岗位基础工作量</w:t>
            </w:r>
            <w:r>
              <w:rPr>
                <w:rFonts w:hint="default" w:ascii="Times New Roman" w:hAnsi="Times New Roman" w:eastAsia="仿宋_GB2312" w:cs="Times New Roman"/>
                <w:spacing w:val="-9"/>
                <w:kern w:val="2"/>
                <w:sz w:val="24"/>
                <w:szCs w:val="24"/>
                <w:lang w:val="en-US" w:eastAsia="zh-CN" w:bidi="ar-SA"/>
              </w:rPr>
              <w:t>的70%，得30分；</w:t>
            </w:r>
          </w:p>
          <w:p w14:paraId="3DDC8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09" w:right="158"/>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
                <w:kern w:val="2"/>
                <w:sz w:val="24"/>
                <w:szCs w:val="24"/>
                <w:lang w:val="en-US" w:eastAsia="zh-CN" w:bidi="ar-SA"/>
              </w:rPr>
              <w:t>3.教师本年度完成的科研与教研工作量&gt;相应岗位基础工</w:t>
            </w:r>
            <w:r>
              <w:rPr>
                <w:rFonts w:hint="default" w:ascii="Times New Roman" w:hAnsi="Times New Roman" w:eastAsia="仿宋_GB2312" w:cs="Times New Roman"/>
                <w:spacing w:val="-2"/>
                <w:kern w:val="2"/>
                <w:sz w:val="24"/>
                <w:szCs w:val="24"/>
                <w:lang w:val="en-US" w:eastAsia="zh-CN" w:bidi="ar-SA"/>
              </w:rPr>
              <w:t>作量</w:t>
            </w:r>
            <w:r>
              <w:rPr>
                <w:rFonts w:hint="default" w:ascii="Times New Roman" w:hAnsi="Times New Roman" w:eastAsia="仿宋_GB2312" w:cs="Times New Roman"/>
                <w:spacing w:val="-1"/>
                <w:kern w:val="2"/>
                <w:sz w:val="24"/>
                <w:szCs w:val="24"/>
                <w:lang w:val="en-US" w:eastAsia="zh-CN" w:bidi="ar-SA"/>
              </w:rPr>
              <w:t>的70%，得分=30+(本年度完成的科研与教研工作量/相应岗位</w:t>
            </w:r>
            <w:r>
              <w:rPr>
                <w:rFonts w:hint="default" w:ascii="Times New Roman" w:hAnsi="Times New Roman" w:eastAsia="仿宋_GB2312" w:cs="Times New Roman"/>
                <w:spacing w:val="-2"/>
                <w:kern w:val="2"/>
                <w:sz w:val="24"/>
                <w:szCs w:val="24"/>
                <w:lang w:val="en-US" w:eastAsia="zh-CN" w:bidi="ar-SA"/>
              </w:rPr>
              <w:t>基础工作量-0.7)*10，最多得50分。</w:t>
            </w:r>
          </w:p>
        </w:tc>
      </w:tr>
    </w:tbl>
    <w:p w14:paraId="61D091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（二）初中级职称专任教师分类考核调整</w:t>
      </w:r>
    </w:p>
    <w:p w14:paraId="5C87C6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1.中级职称的专任教师分为教学为主型、教学科研并重型、科研与社会服务型三类。</w:t>
      </w:r>
    </w:p>
    <w:p w14:paraId="7D59E7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2.具有博士学位的专任教师为教学科研并重型，科研业绩实分不得低于标准的50%，其他中级的专任教师可选择教学为主型、教学科研并重型或科研与社会服务型。</w:t>
      </w:r>
    </w:p>
    <w:p w14:paraId="35C68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3.中级职称专任教师的科研与教研工作量标准由原60分降至40分。初级职称专任教师的科研与教研工作量标准由原30分降至20分。入校未满1年的初中级专任教师，不做实分工作量的硬性要求。</w:t>
      </w:r>
    </w:p>
    <w:p w14:paraId="4D66B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4.教学为主型的教师年度考核，可以选择教学科研型或科研与社会服务型的考核标准考核。</w:t>
      </w:r>
    </w:p>
    <w:p w14:paraId="546F4C9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（三）初中级职称专任教师岗位基础工作量调整</w:t>
      </w:r>
    </w:p>
    <w:tbl>
      <w:tblPr>
        <w:tblStyle w:val="15"/>
        <w:tblW w:w="93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9"/>
        <w:gridCol w:w="2151"/>
        <w:gridCol w:w="2188"/>
        <w:gridCol w:w="3824"/>
      </w:tblGrid>
      <w:tr w14:paraId="407C7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29" w:type="dxa"/>
            <w:vMerge w:val="restart"/>
            <w:tcBorders>
              <w:top w:val="single" w:color="auto" w:sz="4" w:space="0"/>
              <w:left w:val="single" w:color="auto" w:sz="4" w:space="0"/>
              <w:bottom w:val="single" w:color="auto" w:sz="4" w:space="0"/>
              <w:right w:val="single" w:color="auto" w:sz="4" w:space="0"/>
            </w:tcBorders>
            <w:vAlign w:val="center"/>
          </w:tcPr>
          <w:p w14:paraId="140E989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3"/>
                <w:kern w:val="2"/>
                <w:sz w:val="24"/>
                <w:szCs w:val="24"/>
                <w:lang w:val="en-US" w:eastAsia="en-US" w:bidi="ar-SA"/>
              </w:rPr>
              <w:t>岗位等级</w:t>
            </w:r>
          </w:p>
        </w:tc>
        <w:tc>
          <w:tcPr>
            <w:tcW w:w="2151" w:type="dxa"/>
            <w:vMerge w:val="restart"/>
            <w:tcBorders>
              <w:top w:val="single" w:color="auto" w:sz="4" w:space="0"/>
              <w:left w:val="single" w:color="auto" w:sz="4" w:space="0"/>
              <w:bottom w:val="single" w:color="auto" w:sz="4" w:space="0"/>
              <w:right w:val="single" w:color="auto" w:sz="4" w:space="0"/>
            </w:tcBorders>
            <w:vAlign w:val="center"/>
          </w:tcPr>
          <w:p w14:paraId="4735299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3"/>
                <w:kern w:val="2"/>
                <w:sz w:val="24"/>
                <w:szCs w:val="24"/>
                <w:lang w:val="en-US" w:eastAsia="en-US" w:bidi="ar-SA"/>
              </w:rPr>
              <w:t>岗位类别</w:t>
            </w:r>
          </w:p>
        </w:tc>
        <w:tc>
          <w:tcPr>
            <w:tcW w:w="6012" w:type="dxa"/>
            <w:gridSpan w:val="2"/>
            <w:tcBorders>
              <w:top w:val="single" w:color="auto" w:sz="4" w:space="0"/>
              <w:left w:val="single" w:color="auto" w:sz="4" w:space="0"/>
              <w:bottom w:val="single" w:color="auto" w:sz="4" w:space="0"/>
              <w:right w:val="single" w:color="auto" w:sz="4" w:space="0"/>
            </w:tcBorders>
            <w:vAlign w:val="center"/>
          </w:tcPr>
          <w:p w14:paraId="4D497132">
            <w:pPr>
              <w:keepNext w:val="0"/>
              <w:keepLines w:val="0"/>
              <w:widowControl w:val="0"/>
              <w:suppressLineNumbers w:val="0"/>
              <w:spacing w:before="0" w:beforeAutospacing="0" w:after="0" w:afterAutospacing="0" w:line="440" w:lineRule="exact"/>
              <w:ind w:left="1915" w:right="0"/>
              <w:jc w:val="both"/>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b/>
                <w:bCs/>
                <w:spacing w:val="-1"/>
                <w:kern w:val="2"/>
                <w:sz w:val="24"/>
                <w:szCs w:val="24"/>
                <w:lang w:val="en-US" w:eastAsia="en-US" w:bidi="ar-SA"/>
              </w:rPr>
              <w:t>基础工作量参考标准</w:t>
            </w:r>
          </w:p>
        </w:tc>
      </w:tr>
      <w:tr w14:paraId="6DC7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229" w:type="dxa"/>
            <w:vMerge w:val="continue"/>
            <w:tcBorders>
              <w:top w:val="single" w:color="auto" w:sz="4" w:space="0"/>
              <w:left w:val="single" w:color="auto" w:sz="4" w:space="0"/>
              <w:bottom w:val="single" w:color="auto" w:sz="4" w:space="0"/>
              <w:right w:val="single" w:color="auto" w:sz="4" w:space="0"/>
            </w:tcBorders>
            <w:vAlign w:val="center"/>
          </w:tcPr>
          <w:p w14:paraId="30DCCE2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c>
          <w:tcPr>
            <w:tcW w:w="2151" w:type="dxa"/>
            <w:vMerge w:val="continue"/>
            <w:tcBorders>
              <w:top w:val="single" w:color="auto" w:sz="4" w:space="0"/>
              <w:left w:val="single" w:color="auto" w:sz="4" w:space="0"/>
              <w:bottom w:val="single" w:color="auto" w:sz="4" w:space="0"/>
              <w:right w:val="single" w:color="auto" w:sz="4" w:space="0"/>
            </w:tcBorders>
            <w:vAlign w:val="center"/>
          </w:tcPr>
          <w:p w14:paraId="22925CA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c>
          <w:tcPr>
            <w:tcW w:w="2188" w:type="dxa"/>
            <w:tcBorders>
              <w:top w:val="single" w:color="auto" w:sz="4" w:space="0"/>
              <w:left w:val="single" w:color="auto" w:sz="4" w:space="0"/>
              <w:bottom w:val="single" w:color="auto" w:sz="4" w:space="0"/>
              <w:right w:val="single" w:color="auto" w:sz="4" w:space="0"/>
            </w:tcBorders>
            <w:vAlign w:val="center"/>
          </w:tcPr>
          <w:p w14:paraId="6B5430D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pacing w:val="-2"/>
                <w:kern w:val="2"/>
                <w:sz w:val="24"/>
                <w:szCs w:val="24"/>
                <w:lang w:val="en-US" w:eastAsia="zh-CN" w:bidi="ar-SA"/>
              </w:rPr>
              <w:t>教学工作量</w:t>
            </w:r>
          </w:p>
          <w:p w14:paraId="113E1E7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pacing w:val="-13"/>
                <w:kern w:val="2"/>
                <w:sz w:val="24"/>
                <w:szCs w:val="24"/>
                <w:lang w:val="en-US" w:eastAsia="zh-CN" w:bidi="ar-SA"/>
              </w:rPr>
              <w:t>（单位：标准课时）</w:t>
            </w:r>
          </w:p>
        </w:tc>
        <w:tc>
          <w:tcPr>
            <w:tcW w:w="3824" w:type="dxa"/>
            <w:tcBorders>
              <w:top w:val="single" w:color="auto" w:sz="4" w:space="0"/>
              <w:left w:val="single" w:color="auto" w:sz="4" w:space="0"/>
              <w:bottom w:val="single" w:color="auto" w:sz="4" w:space="0"/>
              <w:right w:val="single" w:color="auto" w:sz="4" w:space="0"/>
            </w:tcBorders>
            <w:vAlign w:val="center"/>
          </w:tcPr>
          <w:p w14:paraId="2F5250D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b/>
                <w:bCs/>
                <w:spacing w:val="-1"/>
                <w:kern w:val="2"/>
                <w:sz w:val="24"/>
                <w:szCs w:val="24"/>
                <w:lang w:val="en-US" w:eastAsia="zh-CN" w:bidi="ar-SA"/>
              </w:rPr>
            </w:pPr>
            <w:r>
              <w:rPr>
                <w:rFonts w:hint="default" w:ascii="Times New Roman" w:hAnsi="Times New Roman" w:eastAsia="仿宋_GB2312" w:cs="Times New Roman"/>
                <w:b/>
                <w:bCs/>
                <w:spacing w:val="-1"/>
                <w:kern w:val="2"/>
                <w:sz w:val="24"/>
                <w:szCs w:val="24"/>
                <w:lang w:val="en-US" w:eastAsia="zh-CN" w:bidi="ar-SA"/>
              </w:rPr>
              <w:t>科研与教研工作量</w:t>
            </w:r>
          </w:p>
          <w:p w14:paraId="2542020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pacing w:val="-2"/>
                <w:kern w:val="2"/>
                <w:sz w:val="24"/>
                <w:szCs w:val="24"/>
                <w:lang w:val="en-US" w:eastAsia="zh-CN" w:bidi="ar-SA"/>
              </w:rPr>
              <w:t>（单位:分）</w:t>
            </w:r>
          </w:p>
        </w:tc>
      </w:tr>
      <w:tr w14:paraId="06E46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29" w:type="dxa"/>
            <w:vMerge w:val="restart"/>
            <w:tcBorders>
              <w:top w:val="single" w:color="auto" w:sz="4" w:space="0"/>
              <w:left w:val="single" w:color="auto" w:sz="4" w:space="0"/>
              <w:bottom w:val="single" w:color="auto" w:sz="4" w:space="0"/>
              <w:right w:val="single" w:color="auto" w:sz="4" w:space="0"/>
            </w:tcBorders>
            <w:vAlign w:val="center"/>
          </w:tcPr>
          <w:p w14:paraId="0029E39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19"/>
                <w:kern w:val="2"/>
                <w:sz w:val="24"/>
                <w:szCs w:val="24"/>
                <w:lang w:val="en-US" w:eastAsia="en-US" w:bidi="ar-SA"/>
              </w:rPr>
              <w:t>中级</w:t>
            </w:r>
          </w:p>
        </w:tc>
        <w:tc>
          <w:tcPr>
            <w:tcW w:w="2151" w:type="dxa"/>
            <w:tcBorders>
              <w:top w:val="single" w:color="auto" w:sz="4" w:space="0"/>
              <w:left w:val="single" w:color="auto" w:sz="4" w:space="0"/>
              <w:bottom w:val="single" w:color="auto" w:sz="4" w:space="0"/>
              <w:right w:val="single" w:color="auto" w:sz="4" w:space="0"/>
            </w:tcBorders>
            <w:vAlign w:val="center"/>
          </w:tcPr>
          <w:p w14:paraId="19CD90D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2"/>
                <w:kern w:val="2"/>
                <w:sz w:val="24"/>
                <w:szCs w:val="24"/>
                <w:lang w:val="en-US" w:eastAsia="en-US" w:bidi="ar-SA"/>
              </w:rPr>
              <w:t>教学为主型</w:t>
            </w:r>
          </w:p>
        </w:tc>
        <w:tc>
          <w:tcPr>
            <w:tcW w:w="2188" w:type="dxa"/>
            <w:tcBorders>
              <w:top w:val="single" w:color="auto" w:sz="4" w:space="0"/>
              <w:left w:val="single" w:color="auto" w:sz="4" w:space="0"/>
              <w:bottom w:val="single" w:color="auto" w:sz="4" w:space="0"/>
              <w:right w:val="single" w:color="auto" w:sz="4" w:space="0"/>
            </w:tcBorders>
            <w:vAlign w:val="center"/>
          </w:tcPr>
          <w:p w14:paraId="5F5835D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200</w:t>
            </w:r>
          </w:p>
        </w:tc>
        <w:tc>
          <w:tcPr>
            <w:tcW w:w="3824" w:type="dxa"/>
            <w:vMerge w:val="restart"/>
            <w:tcBorders>
              <w:top w:val="single" w:color="auto" w:sz="4" w:space="0"/>
              <w:left w:val="single" w:color="auto" w:sz="4" w:space="0"/>
              <w:bottom w:val="single" w:color="auto" w:sz="4" w:space="0"/>
              <w:right w:val="single" w:color="auto" w:sz="4" w:space="0"/>
            </w:tcBorders>
            <w:vAlign w:val="center"/>
          </w:tcPr>
          <w:p w14:paraId="19F1564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40</w:t>
            </w:r>
          </w:p>
        </w:tc>
      </w:tr>
      <w:tr w14:paraId="10A9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29" w:type="dxa"/>
            <w:vMerge w:val="continue"/>
            <w:tcBorders>
              <w:top w:val="single" w:color="auto" w:sz="4" w:space="0"/>
              <w:left w:val="single" w:color="auto" w:sz="4" w:space="0"/>
              <w:bottom w:val="single" w:color="auto" w:sz="4" w:space="0"/>
              <w:right w:val="single" w:color="auto" w:sz="4" w:space="0"/>
            </w:tcBorders>
            <w:vAlign w:val="center"/>
          </w:tcPr>
          <w:p w14:paraId="4A392BFE">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3D9284C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2"/>
                <w:kern w:val="2"/>
                <w:sz w:val="24"/>
                <w:szCs w:val="24"/>
                <w:lang w:val="en-US" w:eastAsia="en-US" w:bidi="ar-SA"/>
              </w:rPr>
              <w:t>教学科研并重型</w:t>
            </w:r>
          </w:p>
        </w:tc>
        <w:tc>
          <w:tcPr>
            <w:tcW w:w="2188" w:type="dxa"/>
            <w:tcBorders>
              <w:top w:val="single" w:color="auto" w:sz="4" w:space="0"/>
              <w:left w:val="single" w:color="auto" w:sz="4" w:space="0"/>
              <w:bottom w:val="single" w:color="auto" w:sz="4" w:space="0"/>
              <w:right w:val="single" w:color="auto" w:sz="4" w:space="0"/>
            </w:tcBorders>
            <w:vAlign w:val="center"/>
          </w:tcPr>
          <w:p w14:paraId="5890AD8F">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150</w:t>
            </w:r>
          </w:p>
        </w:tc>
        <w:tc>
          <w:tcPr>
            <w:tcW w:w="3824" w:type="dxa"/>
            <w:vMerge w:val="continue"/>
            <w:tcBorders>
              <w:top w:val="single" w:color="auto" w:sz="4" w:space="0"/>
              <w:left w:val="single" w:color="auto" w:sz="4" w:space="0"/>
              <w:bottom w:val="single" w:color="auto" w:sz="4" w:space="0"/>
              <w:right w:val="single" w:color="auto" w:sz="4" w:space="0"/>
            </w:tcBorders>
            <w:vAlign w:val="center"/>
          </w:tcPr>
          <w:p w14:paraId="02C09B4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r>
      <w:tr w14:paraId="408D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29" w:type="dxa"/>
            <w:vMerge w:val="continue"/>
            <w:tcBorders>
              <w:top w:val="single" w:color="auto" w:sz="4" w:space="0"/>
              <w:left w:val="single" w:color="auto" w:sz="4" w:space="0"/>
              <w:bottom w:val="single" w:color="auto" w:sz="4" w:space="0"/>
              <w:right w:val="single" w:color="auto" w:sz="4" w:space="0"/>
            </w:tcBorders>
            <w:vAlign w:val="center"/>
          </w:tcPr>
          <w:p w14:paraId="66DAEEED">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c>
          <w:tcPr>
            <w:tcW w:w="2151" w:type="dxa"/>
            <w:tcBorders>
              <w:top w:val="single" w:color="auto" w:sz="4" w:space="0"/>
              <w:left w:val="single" w:color="auto" w:sz="4" w:space="0"/>
              <w:bottom w:val="single" w:color="auto" w:sz="4" w:space="0"/>
              <w:right w:val="single" w:color="auto" w:sz="4" w:space="0"/>
            </w:tcBorders>
            <w:vAlign w:val="center"/>
          </w:tcPr>
          <w:p w14:paraId="56C74D73">
            <w:pPr>
              <w:keepNext w:val="0"/>
              <w:keepLines w:val="0"/>
              <w:widowControl w:val="0"/>
              <w:suppressLineNumbers w:val="0"/>
              <w:spacing w:before="0" w:beforeAutospacing="0" w:after="0" w:afterAutospacing="0" w:line="440" w:lineRule="exact"/>
              <w:ind w:left="121"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2"/>
                <w:kern w:val="2"/>
                <w:sz w:val="24"/>
                <w:szCs w:val="24"/>
                <w:lang w:val="en-US" w:eastAsia="en-US" w:bidi="ar-SA"/>
              </w:rPr>
              <w:t>科研与社会服务型</w:t>
            </w:r>
          </w:p>
        </w:tc>
        <w:tc>
          <w:tcPr>
            <w:tcW w:w="2188" w:type="dxa"/>
            <w:tcBorders>
              <w:top w:val="single" w:color="auto" w:sz="4" w:space="0"/>
              <w:left w:val="single" w:color="auto" w:sz="4" w:space="0"/>
              <w:bottom w:val="single" w:color="auto" w:sz="4" w:space="0"/>
              <w:right w:val="single" w:color="auto" w:sz="4" w:space="0"/>
            </w:tcBorders>
            <w:vAlign w:val="center"/>
          </w:tcPr>
          <w:p w14:paraId="356123F7">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100</w:t>
            </w:r>
          </w:p>
        </w:tc>
        <w:tc>
          <w:tcPr>
            <w:tcW w:w="3824" w:type="dxa"/>
            <w:vMerge w:val="continue"/>
            <w:tcBorders>
              <w:top w:val="single" w:color="auto" w:sz="4" w:space="0"/>
              <w:left w:val="single" w:color="auto" w:sz="4" w:space="0"/>
              <w:bottom w:val="single" w:color="auto" w:sz="4" w:space="0"/>
              <w:right w:val="single" w:color="auto" w:sz="4" w:space="0"/>
            </w:tcBorders>
            <w:vAlign w:val="center"/>
          </w:tcPr>
          <w:p w14:paraId="6A210EB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p>
        </w:tc>
      </w:tr>
      <w:tr w14:paraId="26585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380" w:type="dxa"/>
            <w:gridSpan w:val="2"/>
            <w:tcBorders>
              <w:top w:val="single" w:color="auto" w:sz="4" w:space="0"/>
              <w:left w:val="single" w:color="auto" w:sz="4" w:space="0"/>
              <w:bottom w:val="single" w:color="auto" w:sz="4" w:space="0"/>
              <w:right w:val="single" w:color="auto" w:sz="4" w:space="0"/>
            </w:tcBorders>
            <w:vAlign w:val="center"/>
          </w:tcPr>
          <w:p w14:paraId="33A7B305">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kern w:val="2"/>
                <w:sz w:val="24"/>
                <w:szCs w:val="24"/>
                <w:lang w:val="en-US" w:eastAsia="en-US" w:bidi="ar-SA"/>
              </w:rPr>
            </w:pPr>
            <w:r>
              <w:rPr>
                <w:rFonts w:hint="default" w:ascii="Times New Roman" w:hAnsi="Times New Roman" w:eastAsia="仿宋_GB2312" w:cs="Times New Roman"/>
                <w:spacing w:val="-5"/>
                <w:kern w:val="2"/>
                <w:sz w:val="24"/>
                <w:szCs w:val="24"/>
                <w:lang w:val="en-US" w:eastAsia="en-US" w:bidi="ar-SA"/>
              </w:rPr>
              <w:t>初级</w:t>
            </w:r>
          </w:p>
        </w:tc>
        <w:tc>
          <w:tcPr>
            <w:tcW w:w="2188" w:type="dxa"/>
            <w:tcBorders>
              <w:top w:val="single" w:color="auto" w:sz="4" w:space="0"/>
              <w:left w:val="single" w:color="auto" w:sz="4" w:space="0"/>
              <w:bottom w:val="single" w:color="auto" w:sz="4" w:space="0"/>
              <w:right w:val="single" w:color="auto" w:sz="4" w:space="0"/>
            </w:tcBorders>
            <w:vAlign w:val="center"/>
          </w:tcPr>
          <w:p w14:paraId="2613A536">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10"/>
                <w:sz w:val="24"/>
              </w:rPr>
              <w:t>150</w:t>
            </w:r>
          </w:p>
        </w:tc>
        <w:tc>
          <w:tcPr>
            <w:tcW w:w="3824" w:type="dxa"/>
            <w:tcBorders>
              <w:top w:val="single" w:color="auto" w:sz="4" w:space="0"/>
              <w:left w:val="single" w:color="auto" w:sz="4" w:space="0"/>
              <w:bottom w:val="single" w:color="auto" w:sz="4" w:space="0"/>
              <w:right w:val="single" w:color="auto" w:sz="4" w:space="0"/>
            </w:tcBorders>
            <w:vAlign w:val="center"/>
          </w:tcPr>
          <w:p w14:paraId="1F384F52">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pacing w:val="-3"/>
                <w:sz w:val="24"/>
              </w:rPr>
              <w:t>20</w:t>
            </w:r>
          </w:p>
        </w:tc>
      </w:tr>
    </w:tbl>
    <w:p w14:paraId="6E7B2DC3">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（四）专任教师岗位基础工作量备注1调整</w:t>
      </w:r>
    </w:p>
    <w:p w14:paraId="7F5EA1C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研与教研工作量中，专任教师需完成规定的业绩实分，其中，（1）教学为主型专任教师，教研业绩实分不得低于上述标准的50%，即科研业绩分与教研业绩虚拟分之和不得高于上述标准的50%；（2）教学科研并重型专任教师、中级职称的博士，科研业绩实分不得低于上述标准的50%，即教研业绩分与科研业绩虚拟分之和不得高于上述标准的50%；（3）科研与社会服务型专任教师，科研业绩实分不得低于上述标准的75%，即教研业绩分与科研业绩虚拟分之和不得高于上述标准的25%；（4）其他中级的专任教师可选择教学为主型、教学科研并重型或科研与社会服务型，按照上述要求完成规定的业绩实分。（5）初级专任教师，科研与教研业绩实分之和不得低于上述标准的50%，即科研与教研业绩虚拟分之和不得高于上述标准的50%，超出部分不计。</w:t>
      </w:r>
    </w:p>
    <w:p w14:paraId="4039DDB8">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（五）专任教师授课课时数规定</w:t>
      </w:r>
    </w:p>
    <w:p w14:paraId="607BC16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1.教学为主型教师课时数原则应高于所在学院平均课时数的120%。</w:t>
      </w:r>
    </w:p>
    <w:p w14:paraId="096E4A3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2.教学科研并重型、科研与社会服务型教师课时数原则上不高于所在学院平均课时数。</w:t>
      </w:r>
    </w:p>
    <w:p w14:paraId="09D904A5">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（六）专任教师年度考核优秀档次分值规定</w:t>
      </w:r>
    </w:p>
    <w:p w14:paraId="3203E35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专任教师年度考核总分排名位于所在学院前30%，并且当年完成的科研或教研工作量实分原则上超出实分标准的50%。</w:t>
      </w:r>
    </w:p>
    <w:p w14:paraId="3A4CB365">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（七）公共工作考核评优</w:t>
      </w:r>
    </w:p>
    <w:p w14:paraId="70AB44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对完成基础工作量且在公共工作方面表现突出的专任教师，学校将评选若干名年度“公共工作贡献奖”并予以表彰。</w:t>
      </w:r>
    </w:p>
    <w:p w14:paraId="4B47E9BD">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（八）继续教育工作量的计算</w:t>
      </w:r>
    </w:p>
    <w:p w14:paraId="7D38893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专任教师所承担的学历继续教育工作量按照全日制本科生教学工作量的50%计算。</w:t>
      </w:r>
    </w:p>
    <w:p w14:paraId="5278AA3D">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（九）投诉与申诉期限调整</w:t>
      </w:r>
    </w:p>
    <w:p w14:paraId="40F6E49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在年度考核结果公示后1个月内，教师有权就考核结果和考核工作向考核申诉委员会提出投诉与申诉。</w:t>
      </w:r>
    </w:p>
    <w:p w14:paraId="6F9E3CC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以上补充规定，发布之日起施行，由人事处负责解释。</w:t>
      </w:r>
    </w:p>
    <w:p w14:paraId="5183A39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二、专任教师教学工作业绩考核补充规定</w:t>
      </w:r>
    </w:p>
    <w:p w14:paraId="17FFF50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对《温州理工学院教师教学工作业绩考核办法（试行）》（温理工行政〔2022〕98号），作如下补充规定：</w:t>
      </w:r>
    </w:p>
    <w:p w14:paraId="1282BA3A">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（一）考核内容</w:t>
      </w:r>
    </w:p>
    <w:p w14:paraId="6A012BC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1.在考核当学年，未出现教学事故及其他学校认定的事故，教学工作量和教学质量排名本院全体教师前80%以上，且满足以下任意一项者，学年度教学业绩考核可直接确定为A级，不占所在单位名额：</w:t>
      </w:r>
    </w:p>
    <w:p w14:paraId="46014E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（1）主持获批一类教学项目；</w:t>
      </w:r>
    </w:p>
    <w:p w14:paraId="579ED8B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（2）主持获批教学成果省二等奖及以上；</w:t>
      </w:r>
    </w:p>
    <w:p w14:paraId="559A434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（3）以第一主编获批省二等奖及以上教材建设奖；</w:t>
      </w:r>
    </w:p>
    <w:p w14:paraId="39CC18C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（4）以第一参赛队员获得一类教师教学竞赛省级特等奖及以上；</w:t>
      </w:r>
    </w:p>
    <w:p w14:paraId="587DDFD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（5）以第一指导教师，指导学生获得以下任意一项竞赛的主赛道全国银奖及以上奖项：中国国际大学生创新大赛、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挑战杯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全国大学生课外学术科技作品竞赛、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挑战杯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中国大学生创业计划大赛。</w:t>
      </w:r>
    </w:p>
    <w:p w14:paraId="6379FE6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2.对校级以上产业学院建设项目，每学年奖励教学建设与研究业绩虚拟分200分，由产业学院负责人根据教师参与产业学院建设的贡献度分配业绩分。</w:t>
      </w:r>
    </w:p>
    <w:p w14:paraId="33554AF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3.对校级教学创新、课程创新、AI育人案例，给予奖励教学建设与研究业绩虚拟分80分。</w:t>
      </w:r>
    </w:p>
    <w:p w14:paraId="419C2525">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（二）考核方法</w:t>
      </w:r>
    </w:p>
    <w:p w14:paraId="6494A36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1.校级以上产业学院立项当学年直接奖励教学建设与研究业绩虚拟分200分，立项以后每学年需满足考核合格及以上条件，方可奖励教学建设与研究业绩虚拟分200分。</w:t>
      </w:r>
    </w:p>
    <w:p w14:paraId="601230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2.对校级教学创新、课程创新、AI育人案例，由教务处按照相关文件评审后给予奖励教学建设与研究业绩虚拟分80分。</w:t>
      </w:r>
    </w:p>
    <w:p w14:paraId="3F71E4D9">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（三）考核结果运用</w:t>
      </w:r>
    </w:p>
    <w:p w14:paraId="095FA84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1.每学年，在教学工作业绩考核A级中，结合教师教学建设与研究成果，评选若干名“卓越教学奖”（不超过A级人数10%），并给予表彰。</w:t>
      </w:r>
    </w:p>
    <w:p w14:paraId="3B4FD7D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2.每学年，学校教学委员会在产业学院建设、教学创新、课程创新、AI育人方面取得优秀成绩的教师中，评选若干名“教学创新标兵”，并给予表彰。</w:t>
      </w:r>
    </w:p>
    <w:p w14:paraId="24BB783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以上补充规定，发布之日起施行，由教师教学发展中心、教务处负责解释。</w:t>
      </w:r>
    </w:p>
    <w:p w14:paraId="18A4611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三、专任教师科研工作业绩考核补充规定</w:t>
      </w:r>
    </w:p>
    <w:p w14:paraId="431197E6">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（一）对《温州理工学院专任教师科研工作业绩考核实施办法（试行）》（温理工行政〔2024〕54号），作如下补充规定：</w:t>
      </w:r>
    </w:p>
    <w:p w14:paraId="0A03117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第三章第十条内容修订为：教师科研工作业绩考核实行等级考核制，并进行比例控制。考核结果分为A、B、C、D四个等级。B级（含）以上比例不超过当学年各单位专任教师人数的70%，其中A级比例不超过25%，C级和D级比例根据考核实际情况确定。</w:t>
      </w:r>
    </w:p>
    <w:p w14:paraId="4F6C432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各等级评价标准要求如下:</w:t>
      </w:r>
    </w:p>
    <w:p w14:paraId="206306C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A级（优秀）:教师在考核当年应完成相应岗位要求的科研工作量，且在科研业绩总分位于所在单位前30%；未出现科研失信行为。</w:t>
      </w:r>
    </w:p>
    <w:p w14:paraId="60744C6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达到上述基本要求者，在规定的A级指标数内，各单位可根据实际自行确定优先评为A级的条件。</w:t>
      </w:r>
    </w:p>
    <w:p w14:paraId="1B1A145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B级（良好）：教师在考核当年应完成相应岗位要求的科研工作量，且在科研业绩总分位于所在单位前70%；未出现科研失信行为。</w:t>
      </w:r>
    </w:p>
    <w:p w14:paraId="542F7DD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C级（合格）：教师完成学校规定的当年科研工作量。</w:t>
      </w:r>
    </w:p>
    <w:p w14:paraId="356223B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D级（不合格）：教师当年的科研工作量明显不足，或出现科研失信失范行为。</w:t>
      </w:r>
    </w:p>
    <w:p w14:paraId="1AAFBA6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2.第三章考核程序和等级评定增加以下内容：</w:t>
      </w:r>
    </w:p>
    <w:p w14:paraId="07C8461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（1）在考核当年，符合以下条件中任何一项者，年度科研工作业绩考核可直接确定为A级，不占所在单位名额：</w:t>
      </w:r>
    </w:p>
    <w:p w14:paraId="0ECC14F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a.教师单个横向科研项目年度到账经费达到100万元或年度横向科研项目累计到账经费达到200万元；</w:t>
      </w:r>
    </w:p>
    <w:p w14:paraId="0E4C9A5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b.主持获批省部级重点及以上科研项目；</w:t>
      </w:r>
    </w:p>
    <w:p w14:paraId="56EE6D0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c.主持获省级及以上政府类科研奖项；</w:t>
      </w:r>
    </w:p>
    <w:p w14:paraId="7CC3E25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d.以第一完成人且我校作为第一完成单位的智库成果获国家级领导人批示。</w:t>
      </w:r>
    </w:p>
    <w:p w14:paraId="7714119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（2）考核结果为A级的理工类教师当年度科研业绩总分原则上应超过其相应岗位要求科研工作量的2倍，人文社科类教师应超过相应基础工作量的1.5倍。</w:t>
      </w:r>
    </w:p>
    <w:p w14:paraId="33A6BEE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3.第四章考核结果运用增加以下内容：</w:t>
      </w:r>
    </w:p>
    <w:p w14:paraId="3F9F30D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（1）每年遴选20名在科研业绩方面有突出贡献的教师，授予“科研先进个人”荣誉称号。</w:t>
      </w:r>
    </w:p>
    <w:p w14:paraId="2DA90C8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(2)教师当年度横向科研项目累计到账经费达到200万元以上的，授予“横向科研先锋”荣誉称号。</w:t>
      </w:r>
    </w:p>
    <w:p w14:paraId="0C0042A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4.第五章附则增加以下内容：</w:t>
      </w:r>
    </w:p>
    <w:p w14:paraId="1E99F54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(1)教学为主型教师不设置年度科研工作业绩任务，可选择不参加当年度科研工作业绩考核。</w:t>
      </w:r>
    </w:p>
    <w:p w14:paraId="4AFEDA6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(2)入校未满一年的专任教师，可选择不参加当年度科研工作业绩考核。</w:t>
      </w:r>
    </w:p>
    <w:p w14:paraId="48A533D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(3)科研虚拟分由各二级单位按照学校规定的标准予以审核，未列入文件规定内的科研业绩可由二级学院根据学科特点提出意见报科研处审核。</w:t>
      </w:r>
    </w:p>
    <w:p w14:paraId="62E74AF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(4)增设科研团队考核内容，按照《温州理工学院科研团队管理办法（试行）》执行。</w:t>
      </w:r>
    </w:p>
    <w:p w14:paraId="55540D90">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（二）对《温州理工学院学科建设与科研量化标准（试行）》（温理工行政〔2024〕22号），作如下补充规定：</w:t>
      </w:r>
    </w:p>
    <w:p w14:paraId="23FCDCA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第五点其他科研业绩中的第4条内容修订为：参加政府部门组织的学术科研活动（含科普类竞赛），获得国家级一、二、三等奖的分别计科研业绩实分10分、8分、6分，获得省级一、二、三等奖的分别计5分、4分、3分，获得市级一、二、三等奖的分别计2分、1分、0.5分。如学术科研活动设金、银、铜奖的对应一、二、三等奖进行计分，不设等级的奖项按照二等奖计分。</w:t>
      </w:r>
    </w:p>
    <w:p w14:paraId="77E7EB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2.第六点有关学术论文及著作说明增加以下内容：CCF（中国计算机学会）推荐A类会议论文视同为SCI一区论文，计500分；B类会议论文视同为SCI二区论文，计200分；C类会议论文视同为SCI三区论文论文，计130分。</w:t>
      </w:r>
    </w:p>
    <w:p w14:paraId="01864B0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本规定发布之日起施行，由科研处负责解释。</w:t>
      </w:r>
    </w:p>
    <w:p w14:paraId="208E644C">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四、专任教师育人工作考核补充规定</w:t>
      </w:r>
    </w:p>
    <w:p w14:paraId="4A3E3C5C">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（一）考核内容</w:t>
      </w:r>
    </w:p>
    <w:p w14:paraId="717905E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增加教师育人工作考核内容：担任出国（境）交换生项目的带队教师等工作。</w:t>
      </w:r>
    </w:p>
    <w:p w14:paraId="68EFB3DE">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（二）工作量计算</w:t>
      </w:r>
    </w:p>
    <w:p w14:paraId="743EAA9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增加育人基本工作量：担任出国（境）交换生项目的带队教师，项目周期30天以内，每个项目计10分，项目周期30天（含）以上，每个项目计20分。</w:t>
      </w:r>
    </w:p>
    <w:p w14:paraId="5C15BD5D">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（三）结果应用</w:t>
      </w:r>
    </w:p>
    <w:p w14:paraId="5ED098F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每年度，在教师育人工作考核优秀者中，评选二十名“育人工作标兵”给予表彰。</w:t>
      </w:r>
      <w:bookmarkStart w:id="0" w:name="_GoBack"/>
      <w:bookmarkEnd w:id="0"/>
    </w:p>
    <w:p w14:paraId="6C7844C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以上补充规定，发布之日起实行，由学生工作部（学生处）商有关部门负责解释。</w:t>
      </w:r>
    </w:p>
    <w:p w14:paraId="75932772">
      <w:pPr>
        <w:spacing w:line="560" w:lineRule="exact"/>
        <w:ind w:firstLine="640" w:firstLineChars="200"/>
        <w:jc w:val="right"/>
        <w:rPr>
          <w:rFonts w:hint="default" w:ascii="Times New Roman" w:hAnsi="Times New Roman" w:eastAsia="仿宋_GB2312" w:cs="Times New Roman"/>
          <w:sz w:val="32"/>
          <w:szCs w:val="32"/>
        </w:rPr>
      </w:pPr>
    </w:p>
    <w:p w14:paraId="098C5FA5">
      <w:pPr>
        <w:keepNext w:val="0"/>
        <w:keepLines w:val="0"/>
        <w:pageBreakBefore w:val="0"/>
        <w:kinsoku/>
        <w:wordWrap/>
        <w:overflowPunct/>
        <w:topLinePunct w:val="0"/>
        <w:autoSpaceDN/>
        <w:bidi w:val="0"/>
        <w:adjustRightInd/>
        <w:snapToGrid/>
        <w:spacing w:line="240" w:lineRule="auto"/>
        <w:rPr>
          <w:rFonts w:hint="default" w:ascii="Times New Roman" w:hAnsi="Times New Roman" w:cs="Times New Roman"/>
          <w:color w:val="auto"/>
        </w:rPr>
      </w:pPr>
    </w:p>
    <w:tbl>
      <w:tblPr>
        <w:tblStyle w:val="7"/>
        <w:tblpPr w:leftFromText="180" w:rightFromText="180" w:vertAnchor="text" w:horzAnchor="page" w:tblpX="1688" w:tblpY="1668"/>
        <w:tblOverlap w:val="never"/>
        <w:tblW w:w="8844"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14:paraId="421FC10A">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844" w:type="dxa"/>
            <w:tcBorders>
              <w:tl2br w:val="nil"/>
              <w:tr2bl w:val="nil"/>
            </w:tcBorders>
            <w:vAlign w:val="center"/>
          </w:tcPr>
          <w:p w14:paraId="6D18BB4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600" w:lineRule="exact"/>
              <w:ind w:left="0" w:right="0" w:firstLine="280" w:firstLineChars="100"/>
              <w:textAlignment w:val="baseline"/>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中共温州理工学院委员会办公室          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日印发</w:t>
            </w:r>
          </w:p>
        </w:tc>
      </w:tr>
    </w:tbl>
    <w:p w14:paraId="71095DE1">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rPr>
      </w:pPr>
    </w:p>
    <w:sectPr>
      <w:pgSz w:w="11906" w:h="16838"/>
      <w:pgMar w:top="2098" w:right="1474" w:bottom="2098" w:left="1587" w:header="851"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D0DC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-421640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15B9B">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2pt;height:144pt;width:144pt;mso-position-horizontal:outside;mso-position-horizontal-relative:margin;mso-wrap-style:none;z-index:251660288;mso-width-relative:page;mso-height-relative:page;" filled="f" stroked="f" coordsize="21600,21600" o:gfxdata="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&#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I3L4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2D615B9B">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dit="readOnly" w:enforcement="1" w:cryptProviderType="rsaFull" w:cryptAlgorithmClass="hash" w:cryptAlgorithmType="typeAny" w:cryptAlgorithmSid="4" w:cryptSpinCount="0" w:hash="Tgw0sxusSV6NFPHCWtxEBCssuUg=" w:salt="LwYyfFD9xoc2lcRMf2zpP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478BD"/>
    <w:rsid w:val="01921AA3"/>
    <w:rsid w:val="02056D00"/>
    <w:rsid w:val="02D56365"/>
    <w:rsid w:val="02DC78BE"/>
    <w:rsid w:val="041A2BF4"/>
    <w:rsid w:val="04934A97"/>
    <w:rsid w:val="056117E3"/>
    <w:rsid w:val="0898267C"/>
    <w:rsid w:val="0D413DFD"/>
    <w:rsid w:val="0E941B37"/>
    <w:rsid w:val="114E22FD"/>
    <w:rsid w:val="11991213"/>
    <w:rsid w:val="11E25F4E"/>
    <w:rsid w:val="11EE332D"/>
    <w:rsid w:val="12856FC3"/>
    <w:rsid w:val="136178EF"/>
    <w:rsid w:val="1635775C"/>
    <w:rsid w:val="18C66D91"/>
    <w:rsid w:val="190B50EC"/>
    <w:rsid w:val="1A671561"/>
    <w:rsid w:val="1BC85EAE"/>
    <w:rsid w:val="1C0A55CE"/>
    <w:rsid w:val="1C166281"/>
    <w:rsid w:val="1E0D155D"/>
    <w:rsid w:val="1EAE2B36"/>
    <w:rsid w:val="1F9F20EA"/>
    <w:rsid w:val="203B047C"/>
    <w:rsid w:val="20B82AE0"/>
    <w:rsid w:val="21035B69"/>
    <w:rsid w:val="215C0D30"/>
    <w:rsid w:val="21B0008F"/>
    <w:rsid w:val="23F54C74"/>
    <w:rsid w:val="23FC3FAF"/>
    <w:rsid w:val="28B7087D"/>
    <w:rsid w:val="29D518AB"/>
    <w:rsid w:val="2B0B2872"/>
    <w:rsid w:val="2B4C2781"/>
    <w:rsid w:val="2DA60AE7"/>
    <w:rsid w:val="2E580034"/>
    <w:rsid w:val="2E804559"/>
    <w:rsid w:val="2F825BAC"/>
    <w:rsid w:val="32265FD5"/>
    <w:rsid w:val="34AF2977"/>
    <w:rsid w:val="352549E8"/>
    <w:rsid w:val="3678506E"/>
    <w:rsid w:val="37B6178F"/>
    <w:rsid w:val="37E7475C"/>
    <w:rsid w:val="394F1E89"/>
    <w:rsid w:val="3D3B4E9A"/>
    <w:rsid w:val="3D942BC7"/>
    <w:rsid w:val="3EF92905"/>
    <w:rsid w:val="3F656B0F"/>
    <w:rsid w:val="3F762D4C"/>
    <w:rsid w:val="41451743"/>
    <w:rsid w:val="420E3793"/>
    <w:rsid w:val="42D34FAF"/>
    <w:rsid w:val="438D20D6"/>
    <w:rsid w:val="43A01432"/>
    <w:rsid w:val="467C44A1"/>
    <w:rsid w:val="47F941DE"/>
    <w:rsid w:val="49A607E1"/>
    <w:rsid w:val="4A141E56"/>
    <w:rsid w:val="4C6B1626"/>
    <w:rsid w:val="510D5033"/>
    <w:rsid w:val="52BC01ED"/>
    <w:rsid w:val="53590226"/>
    <w:rsid w:val="54A82B96"/>
    <w:rsid w:val="56FA762A"/>
    <w:rsid w:val="579655A5"/>
    <w:rsid w:val="58EF231A"/>
    <w:rsid w:val="59130EF6"/>
    <w:rsid w:val="5A403EEE"/>
    <w:rsid w:val="5AE2742A"/>
    <w:rsid w:val="5D7458D7"/>
    <w:rsid w:val="5EEE2344"/>
    <w:rsid w:val="5FA0782B"/>
    <w:rsid w:val="60885CA7"/>
    <w:rsid w:val="61304125"/>
    <w:rsid w:val="617D5EE1"/>
    <w:rsid w:val="61CD66A2"/>
    <w:rsid w:val="65476131"/>
    <w:rsid w:val="65E10C8D"/>
    <w:rsid w:val="661701F9"/>
    <w:rsid w:val="693E7537"/>
    <w:rsid w:val="6A10568B"/>
    <w:rsid w:val="6A2E5B11"/>
    <w:rsid w:val="6D6478BD"/>
    <w:rsid w:val="6DAC0191"/>
    <w:rsid w:val="6DAF0D17"/>
    <w:rsid w:val="6E7116EB"/>
    <w:rsid w:val="6EAB14DE"/>
    <w:rsid w:val="6F1A6664"/>
    <w:rsid w:val="70E645B8"/>
    <w:rsid w:val="71330B4C"/>
    <w:rsid w:val="719E723B"/>
    <w:rsid w:val="71BF6185"/>
    <w:rsid w:val="720605EB"/>
    <w:rsid w:val="73384217"/>
    <w:rsid w:val="73396415"/>
    <w:rsid w:val="745D33AD"/>
    <w:rsid w:val="776808B4"/>
    <w:rsid w:val="782557C0"/>
    <w:rsid w:val="788259A6"/>
    <w:rsid w:val="7C060A6D"/>
    <w:rsid w:val="7D292CFE"/>
    <w:rsid w:val="7D412EF5"/>
    <w:rsid w:val="7E5D03E0"/>
    <w:rsid w:val="7F56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qFormat/>
    <w:uiPriority w:val="0"/>
    <w:pPr>
      <w:keepNext w:val="0"/>
      <w:keepLines w:val="0"/>
      <w:widowControl w:val="0"/>
      <w:suppressLineNumbers w:val="0"/>
      <w:autoSpaceDE w:val="0"/>
      <w:autoSpaceDN w:val="0"/>
      <w:adjustRightInd w:val="0"/>
      <w:spacing w:before="0" w:beforeAutospacing="0" w:after="0" w:afterAutospacing="0" w:line="600" w:lineRule="atLeast"/>
      <w:ind w:left="0" w:right="0" w:firstLine="652"/>
      <w:jc w:val="center"/>
      <w:textAlignment w:val="baseline"/>
    </w:pPr>
    <w:rPr>
      <w:rFonts w:hint="default" w:ascii="Calibri" w:hAnsi="Calibri" w:eastAsia="仿宋_GB2312" w:cs="Times New Roman"/>
      <w:kern w:val="2"/>
      <w:sz w:val="44"/>
      <w:szCs w:val="4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Hyperlink"/>
    <w:basedOn w:val="8"/>
    <w:qFormat/>
    <w:uiPriority w:val="0"/>
    <w:rPr>
      <w:color w:val="0000FF"/>
      <w:u w:val="single"/>
    </w:rPr>
  </w:style>
  <w:style w:type="paragraph" w:styleId="10">
    <w:name w:val="List Paragraph"/>
    <w:autoRedefine/>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character" w:customStyle="1" w:styleId="11">
    <w:name w:val="15"/>
    <w:basedOn w:val="8"/>
    <w:qFormat/>
    <w:uiPriority w:val="0"/>
    <w:rPr>
      <w:rFonts w:hint="eastAsia" w:ascii="宋体" w:hAnsi="宋体" w:eastAsia="宋体" w:cs="宋体"/>
      <w:color w:val="000000"/>
      <w:sz w:val="21"/>
      <w:szCs w:val="21"/>
    </w:rPr>
  </w:style>
  <w:style w:type="paragraph" w:customStyle="1" w:styleId="12">
    <w:name w:val="Table Text"/>
    <w:basedOn w:val="1"/>
    <w:hidden/>
    <w:qFormat/>
    <w:uiPriority w:val="0"/>
    <w:pPr>
      <w:keepNext w:val="0"/>
      <w:keepLines w:val="0"/>
      <w:widowControl w:val="0"/>
      <w:suppressLineNumbers w:val="0"/>
      <w:spacing w:before="0" w:beforeAutospacing="0" w:after="0" w:afterAutospacing="0"/>
      <w:ind w:left="0" w:right="0"/>
      <w:jc w:val="both"/>
    </w:pPr>
    <w:rPr>
      <w:rFonts w:hint="default" w:ascii="仿宋_GB2312" w:hAnsi="仿宋_GB2312" w:eastAsia="仿宋_GB2312" w:cs="仿宋_GB2312"/>
      <w:kern w:val="2"/>
      <w:sz w:val="22"/>
      <w:szCs w:val="22"/>
      <w:lang w:val="en-US" w:eastAsia="zh-CN" w:bidi="ar"/>
    </w:rPr>
  </w:style>
  <w:style w:type="character" w:customStyle="1" w:styleId="13">
    <w:name w:val="16"/>
    <w:basedOn w:val="8"/>
    <w:qFormat/>
    <w:uiPriority w:val="0"/>
    <w:rPr>
      <w:rFonts w:hint="eastAsia" w:ascii="宋体" w:hAnsi="宋体" w:eastAsia="宋体" w:cs="宋体"/>
      <w:color w:val="000000"/>
      <w:sz w:val="22"/>
      <w:szCs w:val="22"/>
    </w:rPr>
  </w:style>
  <w:style w:type="character" w:customStyle="1" w:styleId="14">
    <w:name w:val="10"/>
    <w:basedOn w:val="8"/>
    <w:qFormat/>
    <w:uiPriority w:val="0"/>
    <w:rPr>
      <w:rFonts w:hint="default" w:ascii="Times New Roman" w:hAnsi="Times New Roman" w:cs="Times New Roman"/>
    </w:rPr>
  </w:style>
  <w:style w:type="table" w:customStyle="1" w:styleId="15">
    <w:name w:val="Table Normal"/>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16">
    <w:name w:val="Table Paragraph"/>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636</Words>
  <Characters>699</Characters>
  <Lines>1</Lines>
  <Paragraphs>1</Paragraphs>
  <TotalTime>6</TotalTime>
  <ScaleCrop>false</ScaleCrop>
  <LinksUpToDate>false</LinksUpToDate>
  <CharactersWithSpaces>727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2025-03-31T08:27:00Z</dcterms:created>
  <dc:creator>道</dc:creator>
  <cp:lastModifiedBy>道</cp:lastModifiedBy>
  <cp:lastPrinted>2025-06-04T02:44:00Z</cp:lastPrinted>
  <dcterms:modified xsi:type="dcterms:W3CDTF">2025-06-06T00:34:59Z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B754EBBA82E14935AA718620A1739A0D_13</vt:lpwstr>
  </property>
  <property fmtid="{D5CDD505-2E9C-101B-9397-08002B2CF9AE}" pid="4" name="KSOTemplateDocerSaveRecord">
    <vt:lpwstr>eyJoZGlkIjoiZTRjNDk5Y2QzMjE3MTJjMTVjNzA4NjY3MDRiZmQ2NTkiLCJ1c2VySWQiOiIxNTU4NTE1MjkzIn0=</vt:lpwstr>
  </property>
</Properties>
</file>