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黑体"/>
          <w:sz w:val="44"/>
          <w:szCs w:val="44"/>
        </w:rPr>
      </w:pPr>
    </w:p>
    <w:p>
      <w:pPr>
        <w:jc w:val="center"/>
        <w:rPr>
          <w:rFonts w:ascii="黑体" w:hAnsi="黑体" w:eastAsia="黑体" w:cs="黑体"/>
          <w:sz w:val="44"/>
          <w:szCs w:val="44"/>
        </w:rPr>
      </w:pPr>
    </w:p>
    <w:p>
      <w:pPr>
        <w:jc w:val="center"/>
        <w:rPr>
          <w:rFonts w:ascii="黑体" w:hAnsi="黑体" w:eastAsia="黑体" w:cs="黑体"/>
          <w:sz w:val="44"/>
          <w:szCs w:val="44"/>
        </w:rPr>
      </w:pPr>
    </w:p>
    <w:p>
      <w:pPr>
        <w:jc w:val="center"/>
        <w:rPr>
          <w:rFonts w:ascii="黑体" w:hAnsi="黑体" w:eastAsia="黑体" w:cs="黑体"/>
          <w:sz w:val="44"/>
          <w:szCs w:val="44"/>
        </w:rPr>
      </w:pPr>
    </w:p>
    <w:p>
      <w:pPr>
        <w:jc w:val="center"/>
        <w:rPr>
          <w:rFonts w:ascii="黑体" w:hAnsi="黑体" w:eastAsia="黑体" w:cs="黑体"/>
          <w:sz w:val="44"/>
          <w:szCs w:val="44"/>
        </w:rPr>
      </w:pPr>
    </w:p>
    <w:p>
      <w:pPr>
        <w:spacing w:line="480" w:lineRule="auto"/>
        <w:jc w:val="center"/>
        <w:rPr>
          <w:rFonts w:ascii="黑体" w:hAnsi="黑体" w:eastAsia="黑体" w:cs="黑体"/>
          <w:sz w:val="52"/>
          <w:szCs w:val="52"/>
        </w:rPr>
      </w:pPr>
      <w:r>
        <w:rPr>
          <w:rFonts w:hint="eastAsia" w:ascii="黑体" w:hAnsi="黑体" w:eastAsia="黑体" w:cs="黑体"/>
          <w:sz w:val="52"/>
          <w:szCs w:val="52"/>
        </w:rPr>
        <w:t>温州理工学院</w:t>
      </w:r>
      <w:r>
        <w:rPr>
          <w:rFonts w:hint="eastAsia" w:ascii="黑体" w:hAnsi="黑体" w:eastAsia="黑体" w:cs="黑体"/>
          <w:sz w:val="52"/>
          <w:szCs w:val="52"/>
          <w:lang w:val="en-US" w:eastAsia="zh-CN"/>
        </w:rPr>
        <w:t>育人工作量申报</w:t>
      </w:r>
      <w:r>
        <w:rPr>
          <w:rFonts w:hint="eastAsia" w:ascii="黑体" w:hAnsi="黑体" w:eastAsia="黑体" w:cs="黑体"/>
          <w:sz w:val="52"/>
          <w:szCs w:val="52"/>
        </w:rPr>
        <w:t>系统</w:t>
      </w:r>
    </w:p>
    <w:p>
      <w:pPr>
        <w:spacing w:line="480" w:lineRule="auto"/>
        <w:jc w:val="center"/>
        <w:rPr>
          <w:rFonts w:hint="eastAsia" w:ascii="黑体" w:hAnsi="黑体" w:eastAsia="黑体" w:cs="黑体"/>
          <w:sz w:val="52"/>
          <w:szCs w:val="52"/>
          <w:lang w:eastAsia="zh-CN"/>
        </w:rPr>
      </w:pPr>
      <w:r>
        <w:rPr>
          <w:rFonts w:hint="eastAsia" w:ascii="黑体" w:hAnsi="黑体" w:eastAsia="黑体" w:cs="黑体"/>
          <w:sz w:val="52"/>
          <w:szCs w:val="52"/>
        </w:rPr>
        <w:t>使用</w:t>
      </w:r>
      <w:r>
        <w:rPr>
          <w:rFonts w:hint="eastAsia" w:ascii="黑体" w:hAnsi="黑体" w:eastAsia="黑体" w:cs="黑体"/>
          <w:sz w:val="52"/>
          <w:szCs w:val="52"/>
          <w:lang w:val="en-US" w:eastAsia="zh-CN"/>
        </w:rPr>
        <w:t>指南</w:t>
      </w:r>
    </w:p>
    <w:p>
      <w:pPr>
        <w:spacing w:line="480" w:lineRule="auto"/>
        <w:jc w:val="center"/>
        <w:rPr>
          <w:rFonts w:ascii="黑体" w:hAnsi="黑体" w:eastAsia="黑体" w:cs="黑体"/>
          <w:sz w:val="52"/>
          <w:szCs w:val="52"/>
        </w:rPr>
      </w:pPr>
    </w:p>
    <w:p>
      <w:pPr>
        <w:spacing w:line="480" w:lineRule="auto"/>
        <w:jc w:val="center"/>
        <w:rPr>
          <w:rFonts w:ascii="黑体" w:hAnsi="黑体" w:eastAsia="黑体" w:cs="黑体"/>
          <w:sz w:val="52"/>
          <w:szCs w:val="52"/>
        </w:rPr>
      </w:pPr>
    </w:p>
    <w:p>
      <w:pPr>
        <w:spacing w:line="480" w:lineRule="auto"/>
        <w:jc w:val="center"/>
        <w:rPr>
          <w:rFonts w:ascii="黑体" w:hAnsi="黑体" w:eastAsia="黑体" w:cs="黑体"/>
          <w:sz w:val="52"/>
          <w:szCs w:val="52"/>
        </w:rPr>
      </w:pPr>
    </w:p>
    <w:p>
      <w:pPr>
        <w:spacing w:line="480" w:lineRule="auto"/>
        <w:jc w:val="center"/>
        <w:rPr>
          <w:rFonts w:ascii="黑体" w:hAnsi="黑体" w:eastAsia="黑体" w:cs="黑体"/>
          <w:sz w:val="52"/>
          <w:szCs w:val="52"/>
        </w:rPr>
      </w:pPr>
    </w:p>
    <w:p>
      <w:pPr>
        <w:spacing w:line="480" w:lineRule="auto"/>
        <w:jc w:val="center"/>
        <w:rPr>
          <w:rFonts w:ascii="黑体" w:hAnsi="黑体" w:eastAsia="黑体" w:cs="黑体"/>
          <w:sz w:val="52"/>
          <w:szCs w:val="52"/>
        </w:rPr>
      </w:pPr>
    </w:p>
    <w:p>
      <w:pPr>
        <w:spacing w:line="480" w:lineRule="auto"/>
        <w:jc w:val="center"/>
        <w:rPr>
          <w:rFonts w:ascii="黑体" w:hAnsi="黑体" w:eastAsia="黑体" w:cs="黑体"/>
          <w:sz w:val="52"/>
          <w:szCs w:val="52"/>
        </w:rPr>
      </w:pPr>
    </w:p>
    <w:p>
      <w:pPr>
        <w:spacing w:line="480" w:lineRule="auto"/>
        <w:jc w:val="center"/>
        <w:rPr>
          <w:rFonts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温州理工学院</w:t>
      </w:r>
    </w:p>
    <w:p>
      <w:pPr>
        <w:spacing w:line="480" w:lineRule="auto"/>
        <w:jc w:val="center"/>
        <w:rPr>
          <w:rFonts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2024年6月24日</w:t>
      </w:r>
    </w:p>
    <w:p>
      <w:pPr>
        <w:spacing w:line="480" w:lineRule="auto"/>
        <w:jc w:val="center"/>
        <w:rPr>
          <w:rFonts w:ascii="黑体" w:hAnsi="黑体" w:eastAsia="黑体" w:cs="黑体"/>
          <w:sz w:val="30"/>
          <w:szCs w:val="30"/>
        </w:rPr>
      </w:pPr>
    </w:p>
    <w:p>
      <w:pPr>
        <w:spacing w:line="480" w:lineRule="auto"/>
        <w:jc w:val="center"/>
        <w:rPr>
          <w:rFonts w:ascii="黑体" w:hAnsi="黑体" w:eastAsia="黑体" w:cs="黑体"/>
          <w:sz w:val="30"/>
          <w:szCs w:val="30"/>
        </w:rPr>
      </w:pPr>
    </w:p>
    <w:p>
      <w:pPr>
        <w:spacing w:line="480" w:lineRule="auto"/>
        <w:jc w:val="center"/>
        <w:rPr>
          <w:rFonts w:ascii="黑体" w:hAnsi="黑体" w:eastAsia="黑体" w:cs="黑体"/>
          <w:sz w:val="30"/>
          <w:szCs w:val="30"/>
        </w:rPr>
      </w:pPr>
    </w:p>
    <w:p>
      <w:pPr>
        <w:spacing w:line="480" w:lineRule="auto"/>
        <w:jc w:val="center"/>
        <w:rPr>
          <w:rFonts w:hint="eastAsia" w:ascii="黑体" w:hAnsi="黑体" w:eastAsia="黑体" w:cs="黑体"/>
          <w:sz w:val="30"/>
          <w:szCs w:val="30"/>
        </w:rPr>
      </w:pPr>
    </w:p>
    <w:p>
      <w:pPr>
        <w:spacing w:line="480" w:lineRule="auto"/>
        <w:jc w:val="center"/>
        <w:rPr>
          <w:rFonts w:ascii="黑体" w:hAnsi="黑体" w:eastAsia="黑体" w:cs="黑体"/>
          <w:sz w:val="30"/>
          <w:szCs w:val="30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第一篇 </w:t>
      </w:r>
      <w:r>
        <w:rPr>
          <w:rFonts w:hint="eastAsia" w:ascii="仿宋_GB2312" w:hAnsi="仿宋_GB2312" w:eastAsia="仿宋_GB2312" w:cs="仿宋_GB2312"/>
          <w:sz w:val="28"/>
          <w:szCs w:val="28"/>
        </w:rPr>
        <w:t>教师篇——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育人工作量</w:t>
      </w:r>
      <w:r>
        <w:rPr>
          <w:rFonts w:hint="eastAsia" w:ascii="仿宋_GB2312" w:hAnsi="仿宋_GB2312" w:eastAsia="仿宋_GB2312" w:cs="仿宋_GB2312"/>
          <w:sz w:val="28"/>
          <w:szCs w:val="28"/>
        </w:rPr>
        <w:t>申报及查询--------------------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</w:t>
      </w:r>
    </w:p>
    <w:p>
      <w:pPr>
        <w:spacing w:line="480" w:lineRule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第二篇 </w:t>
      </w:r>
      <w:r>
        <w:rPr>
          <w:rFonts w:hint="eastAsia" w:ascii="仿宋_GB2312" w:hAnsi="仿宋_GB2312" w:eastAsia="仿宋_GB2312" w:cs="仿宋_GB2312"/>
          <w:sz w:val="28"/>
          <w:szCs w:val="28"/>
        </w:rPr>
        <w:t>育人工作篇——审核与工作量导入--------------------</w:t>
      </w:r>
      <w:bookmarkStart w:id="2" w:name="_GoBack"/>
      <w:bookmarkEnd w:id="2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</w:t>
      </w:r>
    </w:p>
    <w:p>
      <w:pPr>
        <w:spacing w:line="480" w:lineRule="auto"/>
        <w:jc w:val="center"/>
        <w:rPr>
          <w:rFonts w:ascii="黑体" w:hAnsi="黑体" w:eastAsia="黑体" w:cs="黑体"/>
          <w:sz w:val="30"/>
          <w:szCs w:val="30"/>
        </w:rPr>
      </w:pPr>
    </w:p>
    <w:p>
      <w:pPr>
        <w:spacing w:line="480" w:lineRule="auto"/>
        <w:jc w:val="center"/>
        <w:rPr>
          <w:rFonts w:ascii="黑体" w:hAnsi="黑体" w:eastAsia="黑体" w:cs="黑体"/>
          <w:sz w:val="30"/>
          <w:szCs w:val="30"/>
        </w:rPr>
        <w:sectPr>
          <w:footerReference r:id="rId4" w:type="first"/>
          <w:footerReference r:id="rId3" w:type="default"/>
          <w:pgSz w:w="11906" w:h="16838"/>
          <w:pgMar w:top="873" w:right="1800" w:bottom="873" w:left="1800" w:header="851" w:footer="992" w:gutter="0"/>
          <w:pgNumType w:start="1"/>
          <w:cols w:space="425" w:num="1"/>
          <w:titlePg/>
          <w:docGrid w:type="lines" w:linePitch="312" w:charSpace="0"/>
        </w:sectPr>
      </w:pPr>
    </w:p>
    <w:p>
      <w:pPr>
        <w:spacing w:line="480" w:lineRule="auto"/>
        <w:jc w:val="center"/>
        <w:rPr>
          <w:rFonts w:ascii="黑体" w:hAnsi="黑体" w:eastAsia="黑体" w:cs="黑体"/>
          <w:sz w:val="30"/>
          <w:szCs w:val="30"/>
        </w:rPr>
      </w:pPr>
    </w:p>
    <w:p>
      <w:pPr>
        <w:jc w:val="center"/>
        <w:rPr>
          <w:rFonts w:hint="default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</w:rPr>
        <w:t>温州理工学院</w:t>
      </w: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育人工作量</w:t>
      </w:r>
    </w:p>
    <w:p>
      <w:pPr>
        <w:jc w:val="center"/>
        <w:rPr>
          <w:rFonts w:hint="eastAsia" w:ascii="黑体" w:hAnsi="黑体" w:eastAsia="黑体" w:cs="黑体"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sz w:val="44"/>
          <w:szCs w:val="44"/>
        </w:rPr>
        <w:t>使用</w:t>
      </w: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指南</w:t>
      </w:r>
    </w:p>
    <w:p>
      <w:pPr>
        <w:rPr>
          <w:rFonts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一</w:t>
      </w:r>
      <w:r>
        <w:rPr>
          <w:rFonts w:hint="eastAsia" w:ascii="黑体" w:hAnsi="黑体" w:eastAsia="黑体" w:cs="黑体"/>
          <w:sz w:val="30"/>
          <w:szCs w:val="30"/>
        </w:rPr>
        <w:t>、业绩中心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系统</w:t>
      </w:r>
      <w:r>
        <w:rPr>
          <w:rFonts w:hint="eastAsia" w:ascii="黑体" w:hAnsi="黑体" w:eastAsia="黑体" w:cs="黑体"/>
          <w:sz w:val="30"/>
          <w:szCs w:val="30"/>
        </w:rPr>
        <w:t>首页及简介</w:t>
      </w:r>
    </w:p>
    <w:p>
      <w:pPr>
        <w:rPr>
          <w:rFonts w:ascii="黑体" w:hAnsi="黑体" w:eastAsia="黑体" w:cs="黑体"/>
          <w:sz w:val="28"/>
          <w:szCs w:val="28"/>
        </w:rPr>
      </w:pPr>
      <w:r>
        <w:fldChar w:fldCharType="begin"/>
      </w:r>
      <w:r>
        <w:instrText xml:space="preserve"> HYPERLINK "https://ats.wzut.edu.cn" </w:instrText>
      </w:r>
      <w:r>
        <w:fldChar w:fldCharType="separate"/>
      </w:r>
      <w:r>
        <w:rPr>
          <w:rStyle w:val="9"/>
          <w:rFonts w:hint="eastAsia" w:ascii="黑体" w:hAnsi="黑体" w:eastAsia="黑体" w:cs="黑体"/>
          <w:sz w:val="28"/>
          <w:szCs w:val="28"/>
        </w:rPr>
        <w:t>https://ats.wzut.edu.cn</w:t>
      </w:r>
      <w:r>
        <w:rPr>
          <w:rStyle w:val="9"/>
          <w:rFonts w:hint="eastAsia" w:ascii="黑体" w:hAnsi="黑体" w:eastAsia="黑体" w:cs="黑体"/>
          <w:sz w:val="28"/>
          <w:szCs w:val="28"/>
        </w:rPr>
        <w:fldChar w:fldCharType="end"/>
      </w:r>
    </w:p>
    <w:p>
      <w:pPr>
        <w:rPr>
          <w:rFonts w:ascii="黑体" w:hAnsi="黑体" w:eastAsia="黑体" w:cs="黑体"/>
          <w:sz w:val="44"/>
          <w:szCs w:val="44"/>
        </w:rPr>
      </w:pPr>
      <w:r>
        <w:rPr>
          <w:rFonts w:ascii="黑体" w:hAnsi="黑体" w:eastAsia="黑体" w:cs="黑体"/>
          <w:sz w:val="44"/>
          <w:szCs w:val="44"/>
        </w:rPr>
        <w:drawing>
          <wp:inline distT="0" distB="0" distL="114300" distR="114300">
            <wp:extent cx="5263515" cy="2596515"/>
            <wp:effectExtent l="0" t="0" r="13335" b="13335"/>
            <wp:docPr id="1" name="图片 1" descr="1718760038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187600383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育人工作模块主要提供教师申报和查询育人工作量。使用人员有教师、育人工作管理部门经办人。</w:t>
      </w:r>
    </w:p>
    <w:p>
      <w:pPr>
        <w:rPr>
          <w:rFonts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二</w:t>
      </w:r>
      <w:r>
        <w:rPr>
          <w:rFonts w:hint="eastAsia" w:ascii="黑体" w:hAnsi="黑体" w:eastAsia="黑体" w:cs="黑体"/>
          <w:sz w:val="30"/>
          <w:szCs w:val="30"/>
        </w:rPr>
        <w:t>、用户使用指南</w:t>
      </w:r>
    </w:p>
    <w:p>
      <w:pPr>
        <w:jc w:val="center"/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第一篇 </w:t>
      </w:r>
      <w:r>
        <w:rPr>
          <w:rFonts w:hint="eastAsia" w:ascii="黑体" w:hAnsi="黑体" w:eastAsia="黑体" w:cs="黑体"/>
          <w:sz w:val="30"/>
          <w:szCs w:val="30"/>
        </w:rPr>
        <w:t>教师篇——</w:t>
      </w:r>
      <w:r>
        <w:rPr>
          <w:rFonts w:hint="eastAsia" w:ascii="黑体" w:hAnsi="黑体" w:eastAsia="黑体" w:cs="黑体"/>
          <w:sz w:val="28"/>
          <w:szCs w:val="28"/>
        </w:rPr>
        <w:t>个人业绩申报及查询</w:t>
      </w:r>
    </w:p>
    <w:p>
      <w:pPr>
        <w:jc w:val="center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育人工作量申报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28"/>
          <w:szCs w:val="28"/>
        </w:rPr>
        <w:t>在业绩中心系统首页点击育人工作模块或在办事服务大厅上（https://i.wzut.edu.cn）搜索教师育人工作量申报。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28"/>
          <w:szCs w:val="28"/>
        </w:rPr>
        <w:t>选择业绩中心的育人工作模块可查看自己已有的育人工作量，申报请点击数据新增</w:t>
      </w:r>
    </w:p>
    <w:p>
      <w:r>
        <w:drawing>
          <wp:inline distT="0" distB="0" distL="114300" distR="114300">
            <wp:extent cx="5268595" cy="2402840"/>
            <wp:effectExtent l="0" t="0" r="8255" b="16510"/>
            <wp:docPr id="63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sz w:val="28"/>
          <w:szCs w:val="28"/>
        </w:rPr>
        <w:t>选择点击跳转则打开填报页面，选择添加，即可开始填写。审核人员根据审核人员名单进行选择。</w:t>
      </w:r>
    </w:p>
    <w:p>
      <w:pPr>
        <w:pStyle w:val="2"/>
      </w:pPr>
    </w:p>
    <w:p>
      <w:r>
        <w:drawing>
          <wp:inline distT="0" distB="0" distL="114300" distR="114300">
            <wp:extent cx="5268595" cy="2378075"/>
            <wp:effectExtent l="0" t="0" r="8255" b="3175"/>
            <wp:docPr id="64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/>
    <w:p>
      <w:pPr>
        <w:pStyle w:val="2"/>
      </w:pPr>
      <w:r>
        <w:drawing>
          <wp:inline distT="0" distB="0" distL="114300" distR="114300">
            <wp:extent cx="5264150" cy="2392045"/>
            <wp:effectExtent l="0" t="0" r="12700" b="8255"/>
            <wp:docPr id="65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785" cy="2280920"/>
            <wp:effectExtent l="0" t="0" r="12065" b="5080"/>
            <wp:docPr id="66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温馨提醒：育人工作量中学生班主任、辅导员、党支部书记、社团指导教师、社会实践指导教师、双肩挑教师等信息由相关职能部门或学院统一上传。其他类别根据育人工作量平台审定人员名单选择对应的审核人员。</w:t>
      </w:r>
    </w:p>
    <w:p>
      <w:pPr>
        <w:jc w:val="center"/>
        <w:rPr>
          <w:rFonts w:ascii="黑体" w:hAnsi="黑体" w:eastAsia="黑体" w:cs="黑体"/>
          <w:sz w:val="28"/>
          <w:szCs w:val="28"/>
        </w:rPr>
      </w:pPr>
    </w:p>
    <w:p>
      <w:pPr>
        <w:jc w:val="center"/>
        <w:rPr>
          <w:rFonts w:ascii="黑体" w:hAnsi="黑体" w:eastAsia="黑体" w:cs="黑体"/>
          <w:sz w:val="28"/>
          <w:szCs w:val="28"/>
        </w:rPr>
      </w:pPr>
    </w:p>
    <w:p>
      <w:pPr>
        <w:jc w:val="center"/>
        <w:rPr>
          <w:rFonts w:ascii="黑体" w:hAnsi="黑体" w:eastAsia="黑体" w:cs="黑体"/>
          <w:sz w:val="28"/>
          <w:szCs w:val="28"/>
        </w:rPr>
      </w:pPr>
    </w:p>
    <w:p>
      <w:pPr>
        <w:jc w:val="center"/>
        <w:rPr>
          <w:rFonts w:ascii="黑体" w:hAnsi="黑体" w:eastAsia="黑体" w:cs="黑体"/>
          <w:sz w:val="28"/>
          <w:szCs w:val="28"/>
        </w:rPr>
      </w:pPr>
    </w:p>
    <w:p>
      <w:pPr>
        <w:jc w:val="center"/>
        <w:rPr>
          <w:rFonts w:ascii="黑体" w:hAnsi="黑体" w:eastAsia="黑体" w:cs="黑体"/>
          <w:sz w:val="28"/>
          <w:szCs w:val="28"/>
        </w:rPr>
      </w:pPr>
    </w:p>
    <w:p>
      <w:pPr>
        <w:jc w:val="center"/>
        <w:rPr>
          <w:rFonts w:ascii="黑体" w:hAnsi="黑体" w:eastAsia="黑体" w:cs="黑体"/>
          <w:sz w:val="28"/>
          <w:szCs w:val="28"/>
        </w:rPr>
      </w:pPr>
    </w:p>
    <w:p/>
    <w:p>
      <w:pPr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第二篇 </w:t>
      </w:r>
      <w:r>
        <w:rPr>
          <w:rFonts w:hint="eastAsia" w:ascii="黑体" w:hAnsi="黑体" w:eastAsia="黑体" w:cs="黑体"/>
          <w:sz w:val="32"/>
          <w:szCs w:val="32"/>
        </w:rPr>
        <w:t>育人工作篇——审核与工作量导入</w:t>
      </w:r>
    </w:p>
    <w:p>
      <w:pPr>
        <w:pStyle w:val="2"/>
        <w:spacing w:before="20" w:after="20"/>
        <w:jc w:val="left"/>
        <w:rPr>
          <w:sz w:val="30"/>
          <w:szCs w:val="30"/>
        </w:rPr>
      </w:pPr>
      <w:bookmarkStart w:id="0" w:name="_Toc9228"/>
      <w:r>
        <w:rPr>
          <w:rFonts w:hint="eastAsia"/>
          <w:sz w:val="30"/>
          <w:szCs w:val="30"/>
        </w:rPr>
        <w:t>（一）温州理工学院育人工作申报审核路径（审核人员）</w:t>
      </w:r>
      <w:bookmarkEnd w:id="0"/>
    </w:p>
    <w:p/>
    <w:p>
      <w:pPr>
        <w:rPr>
          <w:rFonts w:hint="eastAsia" w:ascii="仿宋_GB2312" w:hAnsi="仿宋_GB2312" w:eastAsia="仿宋_GB2312" w:cs="仿宋_GB2312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8"/>
          <w:szCs w:val="28"/>
          <w:lang w:val="en-US" w:eastAsia="zh-CN" w:bidi="ar-SA"/>
        </w:rPr>
        <w:t xml:space="preserve"> 1.审核人员进入校务大厅（https://www.wzut.edu.cn/Col/Col24/Index.html）在待办中心选择育人工作量审核，或则访问数据填报系统</w:t>
      </w:r>
    </w:p>
    <w:p>
      <w:pPr>
        <w:jc w:val="center"/>
        <w:rPr>
          <w:rFonts w:ascii="黑体" w:hAnsi="黑体" w:eastAsia="黑体" w:cs="黑体"/>
          <w:b/>
          <w:bCs/>
          <w:sz w:val="36"/>
          <w:szCs w:val="36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947420</wp:posOffset>
                </wp:positionH>
                <wp:positionV relativeFrom="paragraph">
                  <wp:posOffset>2059940</wp:posOffset>
                </wp:positionV>
                <wp:extent cx="1856740" cy="361950"/>
                <wp:effectExtent l="0" t="0" r="0" b="0"/>
                <wp:wrapNone/>
                <wp:docPr id="68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74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仿宋" w:hAnsi="仿宋" w:eastAsia="仿宋" w:cs="仿宋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FF0000"/>
                              </w:rPr>
                              <w:t>如未找到请点击这里下拉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6pt;margin-top:162.2pt;height:28.5pt;width:146.2pt;z-index:251660288;mso-width-relative:page;mso-height-relative:page;" filled="f" stroked="f" coordsize="21600,21600" o:gfxdata="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KzldgXbAAAACwEAAA8AAAAAAAAAAQAgAAAAIgAAAGRy&#10;cy9kb3ducmV2LnhtbFBLAQIUABQAAAAIAIdO4kB1M+Lv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仿宋" w:hAnsi="仿宋" w:eastAsia="仿宋" w:cs="仿宋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FF0000"/>
                        </w:rPr>
                        <w:t>如未找到请点击这里下拉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2940685</wp:posOffset>
                </wp:positionH>
                <wp:positionV relativeFrom="paragraph">
                  <wp:posOffset>2058035</wp:posOffset>
                </wp:positionV>
                <wp:extent cx="628650" cy="142875"/>
                <wp:effectExtent l="0" t="9525" r="19050" b="38100"/>
                <wp:wrapNone/>
                <wp:docPr id="69" name="直接箭头连接符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1428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1.55pt;margin-top:162.05pt;height:11.25pt;width:49.5pt;z-index:251661312;mso-width-relative:page;mso-height-relative:page;" filled="f" stroked="t" coordsize="21600,21600" o:gfxdata="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z0JqiNsAAAALAQAADwAA&#10;AAAAAAABACAAAAAiAAAAZHJzL2Rvd25yZXYueG1sUEsBAhQAFAAAAAgAh07iQLwrjq4TAgAA7wMA&#10;AA4AAAAAAAAAAQAgAAAAKgEAAGRycy9lMm9Eb2MueG1sUEsFBgAAAAAGAAYAWQEAAK8FAAAAAA==&#10;">
                <v:fill on="f" focussize="0,0"/>
                <v:stroke weight="1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513705" cy="2176780"/>
            <wp:effectExtent l="0" t="0" r="10795" b="13970"/>
            <wp:docPr id="7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楷体" w:hAnsi="楷体" w:eastAsia="楷体" w:cs="楷体"/>
          <w:sz w:val="24"/>
          <w:lang w:bidi="ar"/>
        </w:rPr>
      </w:pPr>
    </w:p>
    <w:p>
      <w:pPr>
        <w:rPr>
          <w:rFonts w:hint="eastAsia" w:ascii="仿宋_GB2312" w:hAnsi="仿宋_GB2312" w:eastAsia="仿宋_GB2312" w:cs="仿宋_GB2312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8"/>
          <w:szCs w:val="28"/>
          <w:lang w:val="en-US" w:eastAsia="zh-CN" w:bidi="ar-SA"/>
        </w:rPr>
        <w:t>2.在页面右上角选择审核管理</w:t>
      </w:r>
    </w:p>
    <w:p>
      <w:pPr>
        <w:jc w:val="left"/>
        <w:rPr>
          <w:rFonts w:ascii="楷体" w:hAnsi="楷体" w:eastAsia="楷体" w:cs="楷体"/>
          <w:sz w:val="24"/>
          <w:lang w:bidi="ar"/>
        </w:rPr>
      </w:pPr>
      <w:r>
        <w:drawing>
          <wp:inline distT="0" distB="0" distL="114300" distR="114300">
            <wp:extent cx="5194300" cy="2643505"/>
            <wp:effectExtent l="0" t="0" r="6350" b="4445"/>
            <wp:docPr id="7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8"/>
          <w:szCs w:val="28"/>
          <w:lang w:val="en-US" w:eastAsia="zh-CN" w:bidi="ar-SA"/>
        </w:rPr>
        <w:t>3.根据各部门审核要求对申请的内容进行审核</w:t>
      </w:r>
    </w:p>
    <w:p>
      <w:pPr>
        <w:tabs>
          <w:tab w:val="left" w:pos="7596"/>
        </w:tabs>
        <w:jc w:val="center"/>
        <w:sectPr>
          <w:pgSz w:w="11906" w:h="16838"/>
          <w:pgMar w:top="873" w:right="1800" w:bottom="873" w:left="1800" w:header="851" w:footer="992" w:gutter="0"/>
          <w:pgNumType w:start="1"/>
          <w:cols w:space="425" w:num="1"/>
          <w:titlePg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4433570</wp:posOffset>
                </wp:positionH>
                <wp:positionV relativeFrom="paragraph">
                  <wp:posOffset>1257300</wp:posOffset>
                </wp:positionV>
                <wp:extent cx="467995" cy="215265"/>
                <wp:effectExtent l="19050" t="19050" r="27305" b="32385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28945" y="8564880"/>
                          <a:ext cx="467995" cy="2152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9.1pt;margin-top:99pt;height:16.95pt;width:36.85pt;z-index:251662336;v-text-anchor:middle;mso-width-relative:page;mso-height-relative:page;" filled="f" stroked="t" coordsize="21600,21600" o:gfxdata="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FEZDRjYAAAACwEAAA8AAAAAAAAAAQAgAAAAIgAA&#10;AGRycy9kb3ducmV2LnhtbFBLAQIUABQAAAAIAIdO4kAtuEyLegIAANgEAAAOAAAAAAAAAAEAIAAA&#10;ACcBAABkcnMvZTJvRG9jLnhtbFBLBQYAAAAABgAGAFkBAAATBgAAAAA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07000" cy="2267585"/>
            <wp:effectExtent l="0" t="0" r="12700" b="18415"/>
            <wp:docPr id="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20" w:after="20"/>
        <w:jc w:val="left"/>
      </w:pPr>
      <w:bookmarkStart w:id="1" w:name="_Toc2414"/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  <w:lang w:val="en-US" w:eastAsia="zh-CN"/>
        </w:rPr>
        <w:t>二</w:t>
      </w:r>
      <w:r>
        <w:rPr>
          <w:rFonts w:hint="eastAsia"/>
          <w:sz w:val="30"/>
          <w:szCs w:val="30"/>
        </w:rPr>
        <w:t>）学院/部门统一上传路径（工作量认定人员</w:t>
      </w:r>
      <w:r>
        <w:rPr>
          <w:rFonts w:hint="eastAsia"/>
        </w:rPr>
        <w:t>）</w:t>
      </w:r>
      <w:bookmarkEnd w:id="1"/>
    </w:p>
    <w:p>
      <w:pPr>
        <w:ind w:left="420" w:hanging="420"/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 w:bidi="ar"/>
        </w:rPr>
        <w:t>1.审核人员进入校务大厅（https://www.wzut.edu.cn/Col/Col24/Index.html）选择数据填报系统</w:t>
      </w:r>
    </w:p>
    <w:p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1154430</wp:posOffset>
                </wp:positionH>
                <wp:positionV relativeFrom="paragraph">
                  <wp:posOffset>2056765</wp:posOffset>
                </wp:positionV>
                <wp:extent cx="1856740" cy="361950"/>
                <wp:effectExtent l="0" t="0" r="0" b="0"/>
                <wp:wrapNone/>
                <wp:docPr id="74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90420" y="3019425"/>
                          <a:ext cx="185674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仿宋" w:hAnsi="仿宋" w:eastAsia="仿宋" w:cs="仿宋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FF0000"/>
                              </w:rPr>
                              <w:t>如未找到请点击这里下拉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0.9pt;margin-top:161.95pt;height:28.5pt;width:146.2pt;z-index:251664384;mso-width-relative:page;mso-height-relative:page;" filled="f" stroked="f" coordsize="21600,21600" o:gfxdata="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5VlaP2wAAAAsBAAAP&#10;AAAAAAAAAAEAIAAAACIAAABkcnMvZG93bnJldi54bWxQSwECFAAUAAAACACHTuJAiTEikk4CAACC&#10;BAAADgAAAAAAAAABACAAAAAqAQAAZHJzL2Uyb0RvYy54bWxQSwUGAAAAAAYABgBZAQAA6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仿宋" w:hAnsi="仿宋" w:eastAsia="仿宋" w:cs="仿宋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FF0000"/>
                        </w:rPr>
                        <w:t>如未找到请点击这里下拉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3088005</wp:posOffset>
                </wp:positionH>
                <wp:positionV relativeFrom="paragraph">
                  <wp:posOffset>2075180</wp:posOffset>
                </wp:positionV>
                <wp:extent cx="628650" cy="142875"/>
                <wp:effectExtent l="0" t="9525" r="19050" b="38100"/>
                <wp:wrapNone/>
                <wp:docPr id="75" name="直接箭头连接符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157220" y="2918460"/>
                          <a:ext cx="628650" cy="1428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43.15pt;margin-top:163.4pt;height:11.25pt;width:49.5pt;z-index:251663360;mso-width-relative:page;mso-height-relative:page;" filled="f" stroked="t" coordsize="21600,21600" o:gfxdata="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5QlVF2gAAAAsBAAAPAAAAAAAAAAEAIAAAACIAAABkcnMvZG93bnJldi54bWxQSwECFAAUAAAA&#10;CACHTuJAombmeSUCAAAJBAAADgAAAAAAAAABACAAAAApAQAAZHJzL2Uyb0RvYy54bWxQSwUGAAAA&#10;AAYABgBZAQAAwAUAAAAA&#10;">
                <v:fill on="f" focussize="0,0"/>
                <v:stroke weight="1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687695" cy="2245360"/>
            <wp:effectExtent l="0" t="0" r="8255" b="2540"/>
            <wp:docPr id="7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hanging="420"/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 w:bidi="ar"/>
        </w:rPr>
      </w:pPr>
    </w:p>
    <w:p>
      <w:pPr>
        <w:ind w:left="420" w:hanging="420"/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 w:bidi="ar"/>
        </w:rPr>
        <w:t>2.在页面右上角选择后台管理</w:t>
      </w:r>
    </w:p>
    <w:p>
      <w:pPr>
        <w:tabs>
          <w:tab w:val="left" w:pos="731"/>
        </w:tabs>
        <w:jc w:val="left"/>
      </w:pPr>
      <w:r>
        <w:drawing>
          <wp:inline distT="0" distB="0" distL="114300" distR="114300">
            <wp:extent cx="5344795" cy="2098040"/>
            <wp:effectExtent l="0" t="0" r="8255" b="16510"/>
            <wp:docPr id="7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44795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hanging="420"/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 w:bidi="ar"/>
        </w:rPr>
        <w:t>3.在页面左上角选择“部门数据维护”</w:t>
      </w:r>
    </w:p>
    <w:p>
      <w:pPr>
        <w:tabs>
          <w:tab w:val="left" w:pos="731"/>
        </w:tabs>
        <w:jc w:val="center"/>
        <w:sectPr>
          <w:pgSz w:w="11906" w:h="16838"/>
          <w:pgMar w:top="873" w:right="1800" w:bottom="873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468620" cy="2585085"/>
            <wp:effectExtent l="0" t="0" r="17780" b="5715"/>
            <wp:docPr id="7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6862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hanging="420"/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 w:bidi="ar"/>
        </w:rPr>
        <w:t>4.选择“教师育人工作量数据表中的育人工作详情表”</w:t>
      </w:r>
    </w:p>
    <w:p>
      <w:pPr>
        <w:tabs>
          <w:tab w:val="left" w:pos="7596"/>
        </w:tabs>
        <w:jc w:val="center"/>
      </w:pPr>
    </w:p>
    <w:p>
      <w:pPr>
        <w:tabs>
          <w:tab w:val="left" w:pos="7596"/>
        </w:tabs>
        <w:jc w:val="center"/>
      </w:pPr>
      <w:r>
        <w:drawing>
          <wp:inline distT="0" distB="0" distL="0" distR="0">
            <wp:extent cx="5274310" cy="2876550"/>
            <wp:effectExtent l="0" t="0" r="2540" b="0"/>
            <wp:docPr id="6118270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82703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596"/>
        </w:tabs>
        <w:jc w:val="center"/>
      </w:pPr>
    </w:p>
    <w:p>
      <w:pPr>
        <w:tabs>
          <w:tab w:val="left" w:pos="7596"/>
        </w:tabs>
        <w:jc w:val="center"/>
      </w:pPr>
    </w:p>
    <w:p>
      <w:pPr>
        <w:tabs>
          <w:tab w:val="left" w:pos="7596"/>
        </w:tabs>
        <w:jc w:val="center"/>
      </w:pPr>
    </w:p>
    <w:p>
      <w:pPr>
        <w:tabs>
          <w:tab w:val="left" w:pos="7596"/>
        </w:tabs>
        <w:jc w:val="left"/>
      </w:pPr>
    </w:p>
    <w:p>
      <w:pPr>
        <w:ind w:left="420" w:hanging="420"/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 w:bidi="ar"/>
        </w:rPr>
        <w:t>5.选择“导入”</w:t>
      </w:r>
    </w:p>
    <w:p>
      <w:pPr>
        <w:jc w:val="left"/>
      </w:pPr>
    </w:p>
    <w:p>
      <w:pPr>
        <w:tabs>
          <w:tab w:val="left" w:pos="7596"/>
        </w:tabs>
        <w:jc w:val="center"/>
      </w:pPr>
    </w:p>
    <w:p>
      <w:pPr>
        <w:tabs>
          <w:tab w:val="left" w:pos="7596"/>
        </w:tabs>
        <w:jc w:val="center"/>
      </w:pPr>
      <w:r>
        <w:drawing>
          <wp:inline distT="0" distB="0" distL="114300" distR="114300">
            <wp:extent cx="5274310" cy="2573020"/>
            <wp:effectExtent l="0" t="0" r="2540" b="17780"/>
            <wp:docPr id="8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596"/>
        </w:tabs>
        <w:jc w:val="center"/>
      </w:pPr>
    </w:p>
    <w:p>
      <w:pPr>
        <w:tabs>
          <w:tab w:val="left" w:pos="7596"/>
        </w:tabs>
        <w:jc w:val="center"/>
      </w:pPr>
    </w:p>
    <w:p>
      <w:pPr>
        <w:tabs>
          <w:tab w:val="left" w:pos="7596"/>
        </w:tabs>
        <w:jc w:val="center"/>
      </w:pPr>
    </w:p>
    <w:p>
      <w:pPr>
        <w:tabs>
          <w:tab w:val="left" w:pos="7596"/>
        </w:tabs>
        <w:jc w:val="center"/>
      </w:pPr>
    </w:p>
    <w:p>
      <w:pPr>
        <w:tabs>
          <w:tab w:val="left" w:pos="7596"/>
        </w:tabs>
        <w:jc w:val="center"/>
      </w:pPr>
    </w:p>
    <w:p>
      <w:pPr>
        <w:tabs>
          <w:tab w:val="left" w:pos="7596"/>
        </w:tabs>
        <w:jc w:val="center"/>
      </w:pPr>
    </w:p>
    <w:p>
      <w:pPr>
        <w:ind w:left="420" w:hanging="420"/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 w:bidi="ar"/>
        </w:rPr>
      </w:pPr>
    </w:p>
    <w:p>
      <w:pPr>
        <w:ind w:left="420" w:hanging="420"/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 w:bidi="ar"/>
        </w:rPr>
        <w:t>6.点击“下载模板”下载数据表格</w:t>
      </w:r>
    </w:p>
    <w:p>
      <w:pPr>
        <w:tabs>
          <w:tab w:val="left" w:pos="7596"/>
        </w:tabs>
        <w:jc w:val="left"/>
        <w:sectPr>
          <w:pgSz w:w="11906" w:h="16838"/>
          <w:pgMar w:top="873" w:right="1800" w:bottom="873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753735" cy="2776855"/>
            <wp:effectExtent l="0" t="0" r="18415" b="4445"/>
            <wp:docPr id="8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hanging="420"/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 w:bidi="ar"/>
        </w:rPr>
        <w:t>7.填写表格。“学年度”、“类别”、“属性”、“所属学院”填写格式点击单元框下拉按钮选择。</w:t>
      </w:r>
    </w:p>
    <w:p>
      <w:pPr>
        <w:ind w:left="420" w:hanging="420"/>
        <w:jc w:val="left"/>
        <w:rPr>
          <w:rFonts w:ascii="楷体" w:hAnsi="楷体" w:eastAsia="楷体" w:cs="楷体"/>
          <w:color w:val="FF0000"/>
          <w:sz w:val="24"/>
          <w:lang w:bidi="ar"/>
        </w:rPr>
      </w:pPr>
    </w:p>
    <w:p>
      <w:pPr>
        <w:ind w:left="420" w:hanging="420"/>
        <w:jc w:val="left"/>
        <w:rPr>
          <w:rFonts w:ascii="楷体" w:hAnsi="楷体" w:eastAsia="楷体" w:cs="楷体"/>
          <w:color w:val="FF0000"/>
          <w:sz w:val="24"/>
          <w:lang w:bidi="ar"/>
        </w:rPr>
      </w:pPr>
    </w:p>
    <w:p>
      <w:pPr>
        <w:ind w:left="420" w:hanging="420"/>
        <w:jc w:val="left"/>
        <w:rPr>
          <w:rFonts w:ascii="楷体" w:hAnsi="楷体" w:eastAsia="楷体" w:cs="楷体"/>
          <w:color w:val="FF0000"/>
          <w:sz w:val="24"/>
          <w:lang w:bidi="ar"/>
        </w:rPr>
      </w:pPr>
      <w:r>
        <w:drawing>
          <wp:inline distT="0" distB="0" distL="114300" distR="114300">
            <wp:extent cx="5271135" cy="2871470"/>
            <wp:effectExtent l="0" t="0" r="5715" b="5080"/>
            <wp:docPr id="8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hanging="420"/>
        <w:jc w:val="left"/>
        <w:rPr>
          <w:rFonts w:ascii="楷体" w:hAnsi="楷体" w:eastAsia="楷体" w:cs="楷体"/>
          <w:color w:val="FF0000"/>
          <w:sz w:val="24"/>
          <w:lang w:bidi="ar"/>
        </w:rPr>
      </w:pPr>
    </w:p>
    <w:p>
      <w:pPr>
        <w:ind w:left="420" w:hanging="420"/>
        <w:jc w:val="left"/>
        <w:rPr>
          <w:rFonts w:ascii="楷体" w:hAnsi="楷体" w:eastAsia="楷体" w:cs="楷体"/>
          <w:color w:val="FF0000"/>
          <w:sz w:val="24"/>
          <w:lang w:bidi="ar"/>
        </w:rPr>
      </w:pPr>
    </w:p>
    <w:p>
      <w:pPr>
        <w:ind w:left="420" w:hanging="420"/>
        <w:jc w:val="left"/>
        <w:rPr>
          <w:rFonts w:ascii="楷体" w:hAnsi="楷体" w:eastAsia="楷体" w:cs="楷体"/>
          <w:color w:val="FF0000"/>
          <w:sz w:val="24"/>
          <w:lang w:bidi="ar"/>
        </w:rPr>
      </w:pPr>
    </w:p>
    <w:p>
      <w:pPr>
        <w:tabs>
          <w:tab w:val="left" w:pos="7596"/>
        </w:tabs>
        <w:jc w:val="left"/>
      </w:pPr>
    </w:p>
    <w:p>
      <w:pPr>
        <w:tabs>
          <w:tab w:val="left" w:pos="7596"/>
        </w:tabs>
        <w:jc w:val="left"/>
      </w:pPr>
    </w:p>
    <w:p>
      <w:pPr>
        <w:tabs>
          <w:tab w:val="left" w:pos="7596"/>
        </w:tabs>
        <w:jc w:val="left"/>
      </w:pPr>
    </w:p>
    <w:p>
      <w:r>
        <w:br w:type="page"/>
      </w:r>
    </w:p>
    <w:p>
      <w:pPr>
        <w:ind w:left="420" w:hanging="420"/>
        <w:jc w:val="left"/>
        <w:rPr>
          <w:rFonts w:hint="eastAsia" w:ascii="Wingdings" w:hAnsi="Wingdings"/>
        </w:rPr>
      </w:pPr>
    </w:p>
    <w:p>
      <w:pPr>
        <w:ind w:left="420" w:hanging="420"/>
        <w:jc w:val="left"/>
        <w:rPr>
          <w:rFonts w:hint="eastAsia" w:ascii="Wingdings" w:hAnsi="Wingdings"/>
        </w:rPr>
      </w:pPr>
    </w:p>
    <w:p>
      <w:pPr>
        <w:ind w:left="420" w:hanging="420"/>
        <w:jc w:val="left"/>
        <w:rPr>
          <w:rFonts w:hint="eastAsia" w:ascii="Wingdings" w:hAnsi="Wingdings"/>
        </w:rPr>
      </w:pPr>
    </w:p>
    <w:p>
      <w:pPr>
        <w:ind w:left="420" w:hanging="420"/>
        <w:jc w:val="left"/>
        <w:rPr>
          <w:rFonts w:hint="eastAsia" w:ascii="Wingdings" w:hAnsi="Wingdings"/>
        </w:rPr>
      </w:pPr>
    </w:p>
    <w:p>
      <w:pPr>
        <w:ind w:left="420" w:hanging="420"/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 w:bidi="ar"/>
        </w:rPr>
        <w:t>8.点击“上传”上传表格，上传完成点击“确定”</w:t>
      </w:r>
    </w:p>
    <w:p>
      <w:pPr>
        <w:jc w:val="left"/>
      </w:pPr>
    </w:p>
    <w:p>
      <w:pPr>
        <w:tabs>
          <w:tab w:val="left" w:pos="7596"/>
        </w:tabs>
        <w:jc w:val="center"/>
      </w:pPr>
      <w:r>
        <w:drawing>
          <wp:inline distT="0" distB="0" distL="114300" distR="114300">
            <wp:extent cx="4942840" cy="2359660"/>
            <wp:effectExtent l="0" t="0" r="10160" b="2540"/>
            <wp:docPr id="8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596"/>
        </w:tabs>
        <w:jc w:val="center"/>
      </w:pPr>
    </w:p>
    <w:p>
      <w:pPr>
        <w:ind w:left="420" w:hanging="420"/>
        <w:jc w:val="left"/>
        <w:rPr>
          <w:rFonts w:ascii="楷体" w:hAnsi="楷体" w:eastAsia="楷体" w:cs="楷体"/>
          <w:b/>
          <w:sz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 w:bidi="ar"/>
        </w:rPr>
        <w:t>9.</w:t>
      </w: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t>成功导入如图。</w:t>
      </w:r>
      <w:r>
        <w:drawing>
          <wp:inline distT="0" distB="0" distL="114300" distR="114300">
            <wp:extent cx="5264150" cy="2471420"/>
            <wp:effectExtent l="0" t="0" r="12700" b="5080"/>
            <wp:docPr id="8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596"/>
        </w:tabs>
        <w:jc w:val="left"/>
        <w:rPr>
          <w:rFonts w:hint="eastAsia"/>
          <w:lang w:eastAsia="zh-CN"/>
        </w:rPr>
      </w:pPr>
    </w:p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032308287"/>
      <w:docPartObj>
        <w:docPartGallery w:val="autotext"/>
      </w:docPartObj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4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724555563"/>
      <w:docPartObj>
        <w:docPartGallery w:val="autotext"/>
      </w:docPartObj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7" name="文本框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Vab3IsAgAAVwQAAA4AAABkcnMvZTJvRG9jLnhtbK1UzY7TMBC+I/EO&#10;lu80aRFL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9Vpvci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FFDA76"/>
    <w:multiLevelType w:val="multilevel"/>
    <w:tmpl w:val="85FFDA76"/>
    <w:lvl w:ilvl="0" w:tentative="0">
      <w:start w:val="1"/>
      <w:numFmt w:val="decimal"/>
      <w:pStyle w:val="3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tabs>
          <w:tab w:val="left" w:pos="420"/>
        </w:tabs>
        <w:ind w:left="567" w:hanging="567"/>
      </w:pPr>
    </w:lvl>
    <w:lvl w:ilvl="2" w:tentative="0">
      <w:start w:val="1"/>
      <w:numFmt w:val="decimal"/>
      <w:lvlText w:val="%1.%2.%3."/>
      <w:lvlJc w:val="left"/>
      <w:pPr>
        <w:tabs>
          <w:tab w:val="left" w:pos="420"/>
        </w:tabs>
        <w:ind w:left="567" w:hanging="567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dkMTViNGZhNjFlMzBkOWNiMDkzM2M4NmQ1ZWJhYTYifQ=="/>
  </w:docVars>
  <w:rsids>
    <w:rsidRoot w:val="00AF0DE8"/>
    <w:rsid w:val="00071801"/>
    <w:rsid w:val="001162A4"/>
    <w:rsid w:val="003D4386"/>
    <w:rsid w:val="005A7208"/>
    <w:rsid w:val="005D72F2"/>
    <w:rsid w:val="00762C49"/>
    <w:rsid w:val="007D33C5"/>
    <w:rsid w:val="00A15DA9"/>
    <w:rsid w:val="00A926A1"/>
    <w:rsid w:val="00AC2ABE"/>
    <w:rsid w:val="00AF0DE8"/>
    <w:rsid w:val="00CF250C"/>
    <w:rsid w:val="00D72607"/>
    <w:rsid w:val="00F572B7"/>
    <w:rsid w:val="023A4BFB"/>
    <w:rsid w:val="037F3F77"/>
    <w:rsid w:val="046E77CF"/>
    <w:rsid w:val="0548762F"/>
    <w:rsid w:val="05526700"/>
    <w:rsid w:val="055533C9"/>
    <w:rsid w:val="05986A3B"/>
    <w:rsid w:val="06510766"/>
    <w:rsid w:val="066413C0"/>
    <w:rsid w:val="06677F89"/>
    <w:rsid w:val="067B57E2"/>
    <w:rsid w:val="06952D48"/>
    <w:rsid w:val="06982838"/>
    <w:rsid w:val="07894890"/>
    <w:rsid w:val="091E214A"/>
    <w:rsid w:val="09C61430"/>
    <w:rsid w:val="0AE24082"/>
    <w:rsid w:val="0B6932FC"/>
    <w:rsid w:val="0BA35A23"/>
    <w:rsid w:val="0BB73761"/>
    <w:rsid w:val="0CCC323C"/>
    <w:rsid w:val="0CD12600"/>
    <w:rsid w:val="0CF149CC"/>
    <w:rsid w:val="0D0C6C6B"/>
    <w:rsid w:val="0DB61B71"/>
    <w:rsid w:val="0EE3661B"/>
    <w:rsid w:val="10ED3781"/>
    <w:rsid w:val="1194265D"/>
    <w:rsid w:val="125938D7"/>
    <w:rsid w:val="134D2F57"/>
    <w:rsid w:val="13B10A95"/>
    <w:rsid w:val="142851FC"/>
    <w:rsid w:val="15CA1E49"/>
    <w:rsid w:val="16447F44"/>
    <w:rsid w:val="176F133B"/>
    <w:rsid w:val="180424E4"/>
    <w:rsid w:val="18976CC5"/>
    <w:rsid w:val="1A312930"/>
    <w:rsid w:val="1A997D27"/>
    <w:rsid w:val="1AE208C4"/>
    <w:rsid w:val="1B7E333D"/>
    <w:rsid w:val="1C95503F"/>
    <w:rsid w:val="1D0305D4"/>
    <w:rsid w:val="1D8B7D5F"/>
    <w:rsid w:val="1EB74352"/>
    <w:rsid w:val="1F6A6057"/>
    <w:rsid w:val="1F982515"/>
    <w:rsid w:val="202B4AEC"/>
    <w:rsid w:val="20C072C8"/>
    <w:rsid w:val="20F63F8C"/>
    <w:rsid w:val="213319F4"/>
    <w:rsid w:val="215E7AE0"/>
    <w:rsid w:val="21746E74"/>
    <w:rsid w:val="222C235B"/>
    <w:rsid w:val="23021A8B"/>
    <w:rsid w:val="231A5461"/>
    <w:rsid w:val="23894FE4"/>
    <w:rsid w:val="24A02B8C"/>
    <w:rsid w:val="258E50DA"/>
    <w:rsid w:val="259953CD"/>
    <w:rsid w:val="25B85E7F"/>
    <w:rsid w:val="27767BD4"/>
    <w:rsid w:val="281014E5"/>
    <w:rsid w:val="29491A44"/>
    <w:rsid w:val="29A22230"/>
    <w:rsid w:val="2B067AE2"/>
    <w:rsid w:val="2BB436C5"/>
    <w:rsid w:val="2C490D9B"/>
    <w:rsid w:val="2C772424"/>
    <w:rsid w:val="2CB352E7"/>
    <w:rsid w:val="2D0B22DB"/>
    <w:rsid w:val="2DDE7B67"/>
    <w:rsid w:val="2E0777D8"/>
    <w:rsid w:val="2EA751D1"/>
    <w:rsid w:val="2FF02B05"/>
    <w:rsid w:val="308C2216"/>
    <w:rsid w:val="326C0551"/>
    <w:rsid w:val="32980D26"/>
    <w:rsid w:val="32E3095D"/>
    <w:rsid w:val="33890C8F"/>
    <w:rsid w:val="33CE6780"/>
    <w:rsid w:val="34FD7B87"/>
    <w:rsid w:val="360936EA"/>
    <w:rsid w:val="368053AF"/>
    <w:rsid w:val="36B83D65"/>
    <w:rsid w:val="37510C0B"/>
    <w:rsid w:val="37815187"/>
    <w:rsid w:val="37B81B43"/>
    <w:rsid w:val="384B29B7"/>
    <w:rsid w:val="38CC58A6"/>
    <w:rsid w:val="3A6D4E67"/>
    <w:rsid w:val="3A7F09EA"/>
    <w:rsid w:val="3B755E28"/>
    <w:rsid w:val="3C3618F0"/>
    <w:rsid w:val="3C664872"/>
    <w:rsid w:val="3CDC62D4"/>
    <w:rsid w:val="3DAA0180"/>
    <w:rsid w:val="3DD1737C"/>
    <w:rsid w:val="3EDF2F17"/>
    <w:rsid w:val="3F285800"/>
    <w:rsid w:val="3F475C76"/>
    <w:rsid w:val="405C39B3"/>
    <w:rsid w:val="40B530C4"/>
    <w:rsid w:val="41310A8B"/>
    <w:rsid w:val="415C79E3"/>
    <w:rsid w:val="432C7B78"/>
    <w:rsid w:val="43606A9A"/>
    <w:rsid w:val="451F64EE"/>
    <w:rsid w:val="452D3B70"/>
    <w:rsid w:val="45DA0515"/>
    <w:rsid w:val="45EE02BE"/>
    <w:rsid w:val="461E0364"/>
    <w:rsid w:val="473929DF"/>
    <w:rsid w:val="47B10A89"/>
    <w:rsid w:val="4812704D"/>
    <w:rsid w:val="48FE7961"/>
    <w:rsid w:val="4999076D"/>
    <w:rsid w:val="4A0F5F3A"/>
    <w:rsid w:val="4A192915"/>
    <w:rsid w:val="4AD056CA"/>
    <w:rsid w:val="4B412124"/>
    <w:rsid w:val="4B416BFE"/>
    <w:rsid w:val="4BC66ACD"/>
    <w:rsid w:val="4BFC604B"/>
    <w:rsid w:val="4C4E7751"/>
    <w:rsid w:val="4CA30661"/>
    <w:rsid w:val="4D6E4D26"/>
    <w:rsid w:val="4E4362A5"/>
    <w:rsid w:val="4E8528B0"/>
    <w:rsid w:val="4EDE7C89"/>
    <w:rsid w:val="4EE075AA"/>
    <w:rsid w:val="4F0E34BD"/>
    <w:rsid w:val="4F2558B8"/>
    <w:rsid w:val="4F9D18F3"/>
    <w:rsid w:val="4FAC3A53"/>
    <w:rsid w:val="503B49FE"/>
    <w:rsid w:val="5085234C"/>
    <w:rsid w:val="515A3F3F"/>
    <w:rsid w:val="51A30BA3"/>
    <w:rsid w:val="524538FA"/>
    <w:rsid w:val="52472B88"/>
    <w:rsid w:val="53916D93"/>
    <w:rsid w:val="53CD65B4"/>
    <w:rsid w:val="53D8114B"/>
    <w:rsid w:val="53E81C4A"/>
    <w:rsid w:val="540C7047"/>
    <w:rsid w:val="55927E7C"/>
    <w:rsid w:val="55F54236"/>
    <w:rsid w:val="56F83E9C"/>
    <w:rsid w:val="570109B9"/>
    <w:rsid w:val="57623B4D"/>
    <w:rsid w:val="58044C05"/>
    <w:rsid w:val="58360B36"/>
    <w:rsid w:val="584B1D6D"/>
    <w:rsid w:val="588D05AF"/>
    <w:rsid w:val="58913C37"/>
    <w:rsid w:val="58B75000"/>
    <w:rsid w:val="59332658"/>
    <w:rsid w:val="597528BF"/>
    <w:rsid w:val="59E44CEE"/>
    <w:rsid w:val="5A1F7AD4"/>
    <w:rsid w:val="5A2B04E2"/>
    <w:rsid w:val="5C8F3053"/>
    <w:rsid w:val="5D417D61"/>
    <w:rsid w:val="5DD92868"/>
    <w:rsid w:val="5E064DE5"/>
    <w:rsid w:val="5EA8281D"/>
    <w:rsid w:val="5FA97E40"/>
    <w:rsid w:val="6026433E"/>
    <w:rsid w:val="609B11F3"/>
    <w:rsid w:val="61355E2F"/>
    <w:rsid w:val="61D54F1C"/>
    <w:rsid w:val="632102D8"/>
    <w:rsid w:val="63ED35A1"/>
    <w:rsid w:val="642B3519"/>
    <w:rsid w:val="64D61833"/>
    <w:rsid w:val="65306B52"/>
    <w:rsid w:val="656071F2"/>
    <w:rsid w:val="65DC2D1D"/>
    <w:rsid w:val="66794A10"/>
    <w:rsid w:val="66BE68C6"/>
    <w:rsid w:val="675E0254"/>
    <w:rsid w:val="67C779FD"/>
    <w:rsid w:val="67F23AD3"/>
    <w:rsid w:val="680D4FA1"/>
    <w:rsid w:val="68757459"/>
    <w:rsid w:val="68943ECC"/>
    <w:rsid w:val="694035C3"/>
    <w:rsid w:val="69D53C97"/>
    <w:rsid w:val="6A031585"/>
    <w:rsid w:val="6A204681"/>
    <w:rsid w:val="6A2E3D63"/>
    <w:rsid w:val="6A3227F5"/>
    <w:rsid w:val="6BA445F8"/>
    <w:rsid w:val="6EEA1024"/>
    <w:rsid w:val="6EF2657E"/>
    <w:rsid w:val="6F6F075E"/>
    <w:rsid w:val="6FDB399B"/>
    <w:rsid w:val="71C50B09"/>
    <w:rsid w:val="737D6FC1"/>
    <w:rsid w:val="743B1556"/>
    <w:rsid w:val="74912C08"/>
    <w:rsid w:val="766F3739"/>
    <w:rsid w:val="77F927A7"/>
    <w:rsid w:val="78544995"/>
    <w:rsid w:val="79944218"/>
    <w:rsid w:val="79CD79A6"/>
    <w:rsid w:val="79FE5A2F"/>
    <w:rsid w:val="7ACE2E3F"/>
    <w:rsid w:val="7C8C2756"/>
    <w:rsid w:val="7CA349C7"/>
    <w:rsid w:val="7CC6105E"/>
    <w:rsid w:val="7CCD6C4F"/>
    <w:rsid w:val="7D2C7C8E"/>
    <w:rsid w:val="7EB63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qFormat/>
    <w:uiPriority w:val="9"/>
    <w:pPr>
      <w:keepNext/>
      <w:keepLines/>
      <w:numPr>
        <w:ilvl w:val="0"/>
        <w:numId w:val="1"/>
      </w:numPr>
      <w:spacing w:before="260" w:after="260" w:line="413" w:lineRule="auto"/>
      <w:ind w:left="709" w:hanging="709"/>
      <w:outlineLvl w:val="2"/>
    </w:pPr>
    <w:rPr>
      <w:b/>
      <w:sz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FollowedHyperlink"/>
    <w:basedOn w:val="8"/>
    <w:qFormat/>
    <w:uiPriority w:val="0"/>
    <w:rPr>
      <w:color w:val="800080"/>
      <w:u w:val="single"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character" w:customStyle="1" w:styleId="11">
    <w:name w:val="页脚 字符"/>
    <w:basedOn w:val="8"/>
    <w:link w:val="4"/>
    <w:qFormat/>
    <w:uiPriority w:val="99"/>
    <w:rPr>
      <w:rFonts w:asciiTheme="minorHAnsi" w:hAnsiTheme="minorHAnsi" w:eastAsiaTheme="minorEastAsia" w:cstheme="minorBidi"/>
      <w:kern w:val="2"/>
      <w:sz w:val="1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CA69E39-63BF-4C61-BA6F-C7DE7ED2CD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5150</Words>
  <Characters>5681</Characters>
  <Lines>50</Lines>
  <Paragraphs>14</Paragraphs>
  <TotalTime>1</TotalTime>
  <ScaleCrop>false</ScaleCrop>
  <LinksUpToDate>false</LinksUpToDate>
  <CharactersWithSpaces>6880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2024-06-24T04:34:00Z</dcterms:created>
  <dc:creator>admin</dc:creator>
  <cp:lastModifiedBy>admin</cp:lastModifiedBy>
  <cp:lastPrinted>2024-06-24T06:48:00Z</cp:lastPrinted>
  <dcterms:modified xsi:type="dcterms:W3CDTF">2024-07-08T02:14:15Z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F848C45FF45C49008DD4335C872317D0_13</vt:lpwstr>
  </property>
</Properties>
</file>